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360" w:lineRule="auto"/>
        <w:jc w:val="center"/>
        <w:rPr>
          <w:rFonts w:hint="default" w:ascii="Times New Roman" w:hAnsi="Times New Roman" w:eastAsia="宋体" w:cs="Times New Roman"/>
          <w:sz w:val="24"/>
          <w:szCs w:val="23"/>
          <w:lang w:val="en-US"/>
        </w:rPr>
      </w:pPr>
      <w:r>
        <w:rPr>
          <w:rFonts w:hint="eastAsia" w:ascii="Times New Roman" w:hAnsi="Times New Roman" w:eastAsia="宋体" w:cs="Times New Roman"/>
          <w:sz w:val="24"/>
          <w:szCs w:val="23"/>
        </w:rPr>
        <w:t>证券代码：002871                  证券简称：伟隆股份               公告编号：2023-</w:t>
      </w:r>
      <w:r>
        <w:rPr>
          <w:rFonts w:ascii="Times New Roman" w:hAnsi="Times New Roman" w:eastAsia="宋体" w:cs="Times New Roman"/>
          <w:sz w:val="24"/>
          <w:szCs w:val="23"/>
        </w:rPr>
        <w:t>0</w:t>
      </w:r>
      <w:r>
        <w:rPr>
          <w:rFonts w:hint="eastAsia" w:ascii="Times New Roman" w:hAnsi="Times New Roman" w:eastAsia="宋体" w:cs="Times New Roman"/>
          <w:sz w:val="24"/>
          <w:szCs w:val="23"/>
        </w:rPr>
        <w:t>9</w:t>
      </w:r>
      <w:r>
        <w:rPr>
          <w:rFonts w:hint="default" w:ascii="Times New Roman" w:hAnsi="Times New Roman" w:eastAsia="宋体" w:cs="Times New Roman"/>
          <w:sz w:val="24"/>
          <w:szCs w:val="23"/>
          <w:lang w:val="en-US"/>
        </w:rPr>
        <w:t>5</w:t>
      </w:r>
    </w:p>
    <w:p>
      <w:pPr>
        <w:spacing w:before="120" w:beforeLines="50" w:after="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sz w:val="30"/>
          <w:szCs w:val="30"/>
        </w:rPr>
        <w:t xml:space="preserve"> </w:t>
      </w:r>
      <w:r>
        <w:rPr>
          <w:rFonts w:hint="eastAsia" w:asciiTheme="majorEastAsia" w:hAnsiTheme="majorEastAsia" w:eastAsiaTheme="majorEastAsia" w:cstheme="majorEastAsia"/>
          <w:b/>
          <w:bCs/>
          <w:sz w:val="30"/>
          <w:szCs w:val="30"/>
        </w:rPr>
        <w:t>青岛伟隆阀门股份有限公司</w:t>
      </w:r>
    </w:p>
    <w:p>
      <w:pPr>
        <w:spacing w:before="120" w:beforeLines="50" w:after="120" w:afterLines="50"/>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 xml:space="preserve"> 关于回购注销部分限制性股票的公告 </w:t>
      </w:r>
    </w:p>
    <w:p>
      <w:pPr>
        <w:spacing w:before="120" w:beforeLines="50" w:after="0"/>
        <w:jc w:val="center"/>
        <w:rPr>
          <w:rFonts w:ascii="宋体" w:hAnsi="宋体"/>
          <w:b/>
          <w:bCs/>
          <w:sz w:val="18"/>
          <w:szCs w:val="16"/>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522" w:type="dxa"/>
            <w:tcBorders>
              <w:top w:val="single" w:color="auto" w:sz="4" w:space="0"/>
              <w:left w:val="single" w:color="auto" w:sz="4" w:space="0"/>
              <w:bottom w:val="single" w:color="auto" w:sz="4" w:space="0"/>
              <w:right w:val="single" w:color="auto" w:sz="4" w:space="0"/>
            </w:tcBorders>
          </w:tcPr>
          <w:p>
            <w:pPr>
              <w:autoSpaceDE w:val="0"/>
              <w:autoSpaceDN w:val="0"/>
              <w:ind w:firstLine="480" w:firstLineChars="200"/>
              <w:rPr>
                <w:rFonts w:asciiTheme="minorEastAsia" w:hAnsiTheme="minorEastAsia" w:eastAsiaTheme="minorEastAsia"/>
                <w:sz w:val="24"/>
                <w:szCs w:val="24"/>
              </w:rPr>
            </w:pPr>
            <w:r>
              <w:rPr>
                <w:rFonts w:hint="eastAsia" w:cs="宋体" w:asciiTheme="minorEastAsia" w:hAnsiTheme="minorEastAsia" w:eastAsiaTheme="minorEastAsia"/>
                <w:sz w:val="24"/>
                <w:szCs w:val="24"/>
              </w:rPr>
              <w:t>本公司及董事会全体成员保证信息披露内容的真实、准确和完整，没有虚假记载、误导性陈述或重大遗漏。</w:t>
            </w:r>
          </w:p>
        </w:tc>
      </w:tr>
    </w:tbl>
    <w:p>
      <w:pPr>
        <w:spacing w:line="360" w:lineRule="auto"/>
        <w:ind w:firstLine="570"/>
        <w:rPr>
          <w:rFonts w:ascii="宋体" w:hAnsi="宋体"/>
          <w:b/>
          <w:sz w:val="24"/>
          <w:szCs w:val="24"/>
        </w:rPr>
      </w:pPr>
    </w:p>
    <w:p>
      <w:pPr>
        <w:spacing w:before="120" w:beforeLines="50" w:after="120" w:afterLines="50" w:line="360" w:lineRule="auto"/>
        <w:ind w:firstLine="482" w:firstLineChars="200"/>
        <w:rPr>
          <w:rFonts w:asciiTheme="minorEastAsia" w:hAnsiTheme="minorEastAsia" w:eastAsiaTheme="minorEastAsia"/>
          <w:b/>
          <w:bCs/>
          <w:sz w:val="24"/>
          <w:szCs w:val="23"/>
        </w:rPr>
      </w:pPr>
      <w:r>
        <w:rPr>
          <w:rFonts w:hint="eastAsia" w:asciiTheme="minorEastAsia" w:hAnsiTheme="minorEastAsia" w:eastAsiaTheme="minorEastAsia"/>
          <w:b/>
          <w:bCs/>
          <w:sz w:val="24"/>
          <w:szCs w:val="23"/>
        </w:rPr>
        <w:t xml:space="preserve"> 特别提示： </w:t>
      </w:r>
    </w:p>
    <w:p>
      <w:pPr>
        <w:spacing w:before="120" w:beforeLines="50" w:after="120" w:afterLines="50"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1、本次拟回购注销的限制性股票数量为</w:t>
      </w:r>
      <w:r>
        <w:rPr>
          <w:rFonts w:hint="eastAsia" w:asciiTheme="minorEastAsia" w:hAnsiTheme="minorEastAsia" w:eastAsiaTheme="minorEastAsia"/>
          <w:sz w:val="24"/>
          <w:szCs w:val="23"/>
        </w:rPr>
        <w:t>171,405</w:t>
      </w:r>
      <w:r>
        <w:rPr>
          <w:rFonts w:hint="eastAsia" w:asciiTheme="minorEastAsia" w:hAnsiTheme="minorEastAsia" w:eastAsiaTheme="minorEastAsia"/>
          <w:sz w:val="24"/>
          <w:szCs w:val="24"/>
        </w:rPr>
        <w:t xml:space="preserve">股，回购价格为3.35元/股。 </w:t>
      </w:r>
    </w:p>
    <w:p>
      <w:pPr>
        <w:spacing w:before="120" w:beforeLines="50" w:after="120" w:afterLines="50"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szCs w:val="24"/>
        </w:rPr>
        <w:t>2、本次回购注销完成后，公司总股本将由</w:t>
      </w:r>
      <w:r>
        <w:rPr>
          <w:rFonts w:hint="eastAsia" w:ascii="宋体" w:hAnsi="宋体" w:eastAsia="宋体" w:cs="Times New Roman"/>
          <w:sz w:val="24"/>
          <w:szCs w:val="21"/>
          <w:lang w:bidi="en-US"/>
        </w:rPr>
        <w:t>219,540,292</w:t>
      </w:r>
      <w:r>
        <w:rPr>
          <w:rFonts w:hint="eastAsia" w:asciiTheme="minorEastAsia" w:hAnsiTheme="minorEastAsia" w:eastAsiaTheme="minorEastAsia"/>
          <w:sz w:val="24"/>
          <w:szCs w:val="23"/>
        </w:rPr>
        <w:t>股变更为</w:t>
      </w:r>
      <w:r>
        <w:rPr>
          <w:rFonts w:hint="eastAsia" w:ascii="宋体" w:hAnsi="宋体" w:eastAsia="宋体" w:cs="Times New Roman"/>
          <w:sz w:val="24"/>
          <w:szCs w:val="21"/>
          <w:lang w:bidi="en-US"/>
        </w:rPr>
        <w:t>219,368,887</w:t>
      </w:r>
      <w:r>
        <w:rPr>
          <w:rFonts w:hint="eastAsia" w:asciiTheme="minorEastAsia" w:hAnsiTheme="minorEastAsia" w:eastAsiaTheme="minorEastAsia"/>
          <w:sz w:val="24"/>
          <w:szCs w:val="23"/>
        </w:rPr>
        <w:t>股</w:t>
      </w:r>
      <w:r>
        <w:rPr>
          <w:rFonts w:hint="eastAsia" w:asciiTheme="minorEastAsia" w:hAnsiTheme="minorEastAsia" w:eastAsiaTheme="minorEastAsia"/>
          <w:sz w:val="24"/>
          <w:szCs w:val="24"/>
        </w:rPr>
        <w:t xml:space="preserve">。 </w:t>
      </w:r>
    </w:p>
    <w:p>
      <w:pPr>
        <w:spacing w:before="120" w:beforeLines="50" w:after="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青岛伟隆阀门股份有限公司（以下称“公司”）第四届董事会第二十六次会议审议通过了《关于回购注销部分限制性股票的议案》。公司2021年限制性股票激励计划首次授予部分的激励对象1名激励对象由于离职，不符合解锁条件，其所持有的未解禁部分股票全部由公司回购注销；</w:t>
      </w:r>
      <w:bookmarkStart w:id="0" w:name="_Hlk117256671"/>
      <w:r>
        <w:rPr>
          <w:rFonts w:hint="eastAsia" w:asciiTheme="minorEastAsia" w:hAnsiTheme="minorEastAsia" w:eastAsiaTheme="minorEastAsia"/>
          <w:sz w:val="24"/>
          <w:szCs w:val="23"/>
        </w:rPr>
        <w:t>1名激励对象绩效考核为不合格，不符合解锁条件；2名激励对象绩效考核为合格，可以申请解除当期80%限售股份；1名激励对象绩效考核为良好，可以申请解除当期90%限售股份</w:t>
      </w:r>
      <w:bookmarkEnd w:id="0"/>
      <w:r>
        <w:rPr>
          <w:rFonts w:hint="eastAsia" w:asciiTheme="minorEastAsia" w:hAnsiTheme="minorEastAsia" w:eastAsiaTheme="minorEastAsia"/>
          <w:sz w:val="24"/>
          <w:szCs w:val="23"/>
        </w:rPr>
        <w:t>；</w:t>
      </w:r>
      <w:bookmarkStart w:id="1" w:name="_Hlk147838123"/>
      <w:r>
        <w:rPr>
          <w:rFonts w:hint="eastAsia" w:asciiTheme="minorEastAsia" w:hAnsiTheme="minorEastAsia" w:eastAsiaTheme="minorEastAsia"/>
          <w:sz w:val="24"/>
          <w:szCs w:val="23"/>
        </w:rPr>
        <w:t>前述4名激励对象其所持有的本期未解禁部分股票全部由公司回购注销</w:t>
      </w:r>
      <w:bookmarkEnd w:id="1"/>
      <w:r>
        <w:rPr>
          <w:rFonts w:hint="eastAsia" w:asciiTheme="minorEastAsia" w:hAnsiTheme="minorEastAsia" w:eastAsiaTheme="minorEastAsia"/>
          <w:sz w:val="24"/>
          <w:szCs w:val="23"/>
        </w:rPr>
        <w:t>。2021年限制性股票激励计划激励预留部分的激励对象3名人员因个人原因离职，不符合解锁条件，其所持有的未解禁部分股票全部由公司回购注销。根据公司《20</w:t>
      </w:r>
      <w:r>
        <w:rPr>
          <w:rFonts w:asciiTheme="minorEastAsia" w:hAnsiTheme="minorEastAsia" w:eastAsiaTheme="minorEastAsia"/>
          <w:sz w:val="24"/>
          <w:szCs w:val="23"/>
        </w:rPr>
        <w:t>21</w:t>
      </w:r>
      <w:r>
        <w:rPr>
          <w:rFonts w:hint="eastAsia" w:asciiTheme="minorEastAsia" w:hAnsiTheme="minorEastAsia" w:eastAsiaTheme="minorEastAsia"/>
          <w:sz w:val="24"/>
          <w:szCs w:val="23"/>
        </w:rPr>
        <w:t>年限制性股票激励计划（草案修订稿）》（以下简称“激励计划”）的规定，公司董事会决定对激励对象已获授但尚未解锁的171,405股限制性股票进行回购注销。现就有关事项公告如下：</w:t>
      </w:r>
    </w:p>
    <w:p>
      <w:p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一、限制性股票激励计划实施简介</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1、2021年9月28日，公司分别召开了第四届董事会第五次会议和第四届监事会第四次会议，审议通过了《关于&lt;公司2021年限制性股票激励计划（草案）及其摘要&gt;的议案》《关于&lt;公司2021年限制性股票激励计划实施考核管理办法&gt;的议案》以及《关于提请股东大会授权董事会办理公司2021年限制性股票激励计划有关事项的议案》。公司独立董事对此发表了独立意见。</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2、2021年9月28日至2021年10月8日，公司对2021年限制性股票激励计划授予激励对象名单进行了内部公示。公示期内，公司监事会未收到与激励计划拟激励对象有关的任何异议；公示期满，监事会对2021年限制性股票激励计划授予部分激励对象名单进行了核查并对公示情况进行了说明，于2021年10月9日公告了《监事会关于2021年限制性股票激励计划授予部分激励对象名单的审核及公示情况说明》。</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3、2021年10月14日，公司召开2021年第二次临时股东大会，审议通过了《关于&lt;公司2021年限制性股票激励计划（草案）及其摘要&gt;的议案》《关于&lt;公司2021年限制性股票激励计划实施考核管理办法&gt;的议案》以及《关于提请股东大会授权董事会办理公司2021年限制性股票激励计划有关事项的议案》。公司独立董事向全体股东公开征集了委托投票权。</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4、2021年10月27日，公司分别召开第四届董事会第六次会议和第四届监事会第五次会议审议通过了《关于调整公司2021年限制性股票激励计划相关事项的议案》《关于向激励对象授予限制性股票的议案》，董事会认为激励计划规定的授予条件已经成就，同意以2021年10月28日为授予日，向符合条件的80名激励对象授予272万股限制性股票，授予价格为5.00元/股。公司独立董事对此发表了独立意见。</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5、2022年09月08日，公司分别召开第四届董事会第十四次会议和第四届监事会第十二次会议，审议通过了《关于调整2021年限制性股票激励计划预留部分授予价格的议案》《关于向2021年限制性股票激励计划激励对象授予预留部分限制性股票的议案》，同意公司2021年限制性股票激励计划预留部分限制性股票授予价格由5.00元/股调整为4.65元/股。董事会认为激励计划规定的预留部分授予条件已经成就，同意以2022年09月08日为授予日，向符合条件的27名激励对象授予42.7626万股限制性股票。公司独立董事对此发表了独立意见。</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6、2022年10月27日，公司分别召开了第四届董事会第十五次会议和第四届监事会第十三次会议，审议通过了《关于2021年限制性股票激励计划第一个解锁期解锁条件成就的议案》《关于调整限制性股票回购价格的议案》《关于回购注销部分限制性股票的议案》等议案，认为本次股权激励计划第一次解除限售和回购注销已不符合激励条件的激励对象以及部分激励对象未全部解锁的已获授但尚未解除限售的限制性股票符合《上市公司股权激励管理办法》等法律、法规和规范性文件及《激励计划》的规定，同意第一次解除限售和回购注销已不符合激励条件的激励对象以及部分激励对象未全部解锁的已获授但尚未解除限售的限制性股票事项。公司独立董事对此发表了独立意见。</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7、2023年8月29日，公司分别召开了第四届董事会第二十五次会议和第四届监事会第十九次会议，审议通过了《关于2021年限制性股票激励计划预留部分第一个解锁期解锁条件成就的议案》《关于调整2021年限制性股票激励计划回购数量及价格的议案》等议案，认为2021年限制性股票激励计划预留部分第一个解锁期解锁条件已成就，同时因2022年权益分配事项，同意调整2021年限制性股票激励计划回购数量及价格。公司独立董事对此发表了独立意见。</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8、2023年10月1</w:t>
      </w:r>
      <w:r>
        <w:rPr>
          <w:rFonts w:hint="default" w:asciiTheme="minorEastAsia" w:hAnsiTheme="minorEastAsia" w:eastAsiaTheme="minorEastAsia"/>
          <w:sz w:val="24"/>
          <w:szCs w:val="23"/>
          <w:lang w:val="en-US"/>
        </w:rPr>
        <w:t>8</w:t>
      </w:r>
      <w:r>
        <w:rPr>
          <w:rFonts w:hint="eastAsia" w:asciiTheme="minorEastAsia" w:hAnsiTheme="minorEastAsia" w:eastAsiaTheme="minorEastAsia"/>
          <w:sz w:val="24"/>
          <w:szCs w:val="23"/>
        </w:rPr>
        <w:t>日，公司分别召开了第四届董事会第二十六次会议和第四届监事会第二十次会议，审议通过了《关于2021年限制性股票激励计划首次授予部分第二个解锁期解锁条件成就的议案》《关于回购注销部分限制性股票的议案》等议案，认为2021年限制性股票激励计划首次授予部分第二个解锁期解除限售和回购注销已不符合激励条件的激励对象已获授但尚未解除限售的限制性股票符合《上市公司股权激励管理办法》等法律、法规和规范性文件及《激励计划》的规定，同意首次授予部分第二次解除限售和回购注销已不符合激励条件的激励对象已获授但尚未解除限售的限制性股票事项。公司独立董事对此发表了独立意见。</w:t>
      </w:r>
    </w:p>
    <w:p>
      <w:p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二、本次回购注销部分限制性股票的原因 </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公司4名激励对象因个人原因离职，</w:t>
      </w:r>
      <w:bookmarkStart w:id="2" w:name="_Hlk117256729"/>
      <w:r>
        <w:rPr>
          <w:rFonts w:hint="eastAsia" w:ascii="宋体" w:hAnsi="宋体" w:eastAsia="宋体" w:cs="Times New Roman"/>
          <w:sz w:val="24"/>
          <w:szCs w:val="21"/>
          <w:lang w:bidi="en-US"/>
        </w:rPr>
        <w:t>其所持有的未解禁部分股票全部回购；1名激励对象绩效考核为不合格，不符合解锁条件；2名激励对象绩效考核为合格，可以申请解除当期80%限售股份；1名激励对象绩效考核为良好，可以申请解除当期90%限售股份，前述 4名激励对象其所持有的本期未解禁部分股票全部回购</w:t>
      </w:r>
      <w:bookmarkEnd w:id="2"/>
      <w:r>
        <w:rPr>
          <w:rFonts w:hint="eastAsia" w:ascii="宋体" w:hAnsi="宋体" w:eastAsia="宋体" w:cs="Times New Roman"/>
          <w:sz w:val="24"/>
          <w:szCs w:val="21"/>
          <w:lang w:bidi="en-US"/>
        </w:rPr>
        <w:t>；根据《激励计划》规定，公司应将其持有的已获授但尚未解除限售的限制性股票回购注销。</w:t>
      </w:r>
    </w:p>
    <w:p>
      <w:pPr>
        <w:numPr>
          <w:ilvl w:val="0"/>
          <w:numId w:val="1"/>
        </w:num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回购价格  </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根据</w:t>
      </w:r>
      <w:r>
        <w:rPr>
          <w:rFonts w:hint="eastAsia" w:asciiTheme="minorEastAsia" w:hAnsiTheme="minorEastAsia" w:eastAsiaTheme="minorEastAsia"/>
          <w:sz w:val="24"/>
          <w:szCs w:val="23"/>
        </w:rPr>
        <w:t>《激励计划》</w:t>
      </w:r>
      <w:r>
        <w:rPr>
          <w:rFonts w:hint="eastAsia" w:ascii="宋体" w:hAnsi="宋体" w:eastAsia="宋体" w:cs="Times New Roman"/>
          <w:sz w:val="24"/>
          <w:szCs w:val="21"/>
          <w:lang w:bidi="en-US"/>
        </w:rPr>
        <w:t>规定，激励对象获授的限制性股票完成股份登记后，若公司发生资本公积转增股本、派送股票红利、股份拆细、配股或缩股、派息等影响公司股本总额或公司股票价格事项的，公司应对尚未解除限售的限制性股票的回购数量和回购价格做相应的调整。具体调整方法如下：</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回购价格的调整方法</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在公司发生资本公积转增股本、派送股票红利、股票拆细时，按照以下方法调整回购价格：P＝P0÷(1＋n)</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其中：</w:t>
      </w:r>
      <w:r>
        <w:rPr>
          <w:rFonts w:ascii="宋体" w:hAnsi="宋体" w:eastAsia="宋体" w:cs="Times New Roman"/>
          <w:sz w:val="24"/>
          <w:szCs w:val="21"/>
          <w:lang w:bidi="en-US"/>
        </w:rPr>
        <w:t>P</w:t>
      </w:r>
      <w:r>
        <w:rPr>
          <w:rFonts w:hint="eastAsia" w:ascii="宋体" w:hAnsi="宋体" w:eastAsia="宋体" w:cs="Times New Roman"/>
          <w:sz w:val="24"/>
          <w:szCs w:val="21"/>
          <w:lang w:bidi="en-US"/>
        </w:rPr>
        <w:t>为调整后的每股限制性股票回购价格，</w:t>
      </w:r>
      <w:r>
        <w:rPr>
          <w:rFonts w:ascii="宋体" w:hAnsi="宋体" w:eastAsia="宋体" w:cs="Times New Roman"/>
          <w:sz w:val="24"/>
          <w:szCs w:val="21"/>
          <w:lang w:bidi="en-US"/>
        </w:rPr>
        <w:t>P0</w:t>
      </w:r>
      <w:r>
        <w:rPr>
          <w:rFonts w:hint="eastAsia" w:ascii="宋体" w:hAnsi="宋体" w:eastAsia="宋体" w:cs="Times New Roman"/>
          <w:sz w:val="24"/>
          <w:szCs w:val="21"/>
          <w:lang w:bidi="en-US"/>
        </w:rPr>
        <w:t>为每股限制性股票授予价格；</w:t>
      </w:r>
      <w:r>
        <w:rPr>
          <w:rFonts w:ascii="宋体" w:hAnsi="宋体" w:eastAsia="宋体" w:cs="Times New Roman"/>
          <w:sz w:val="24"/>
          <w:szCs w:val="21"/>
          <w:lang w:bidi="en-US"/>
        </w:rPr>
        <w:t>n</w:t>
      </w:r>
      <w:r>
        <w:rPr>
          <w:rFonts w:hint="eastAsia" w:ascii="宋体" w:hAnsi="宋体" w:eastAsia="宋体" w:cs="Times New Roman"/>
          <w:sz w:val="24"/>
          <w:szCs w:val="21"/>
          <w:lang w:bidi="en-US"/>
        </w:rPr>
        <w:t>为每股公积金转增股本、派送股票红利、股票拆细的比率（即每股股票经转增、送股或股票拆细后增加的股票数量）。</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在公司发生派息时，按如下方法调整回购价格：P＝P0-V</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其中：P0为调整前的每股限制性股票回购价格；V为每股的派息额；P为调整后的每股限制性股票回购价格。经派息调整后，P仍须大于1。</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20</w:t>
      </w:r>
      <w:r>
        <w:rPr>
          <w:rFonts w:ascii="宋体" w:hAnsi="宋体" w:eastAsia="宋体" w:cs="Times New Roman"/>
          <w:sz w:val="24"/>
          <w:szCs w:val="21"/>
          <w:lang w:bidi="en-US"/>
        </w:rPr>
        <w:t>2</w:t>
      </w:r>
      <w:r>
        <w:rPr>
          <w:rFonts w:hint="eastAsia" w:ascii="宋体" w:hAnsi="宋体" w:eastAsia="宋体" w:cs="Times New Roman"/>
          <w:sz w:val="24"/>
          <w:szCs w:val="21"/>
          <w:lang w:bidi="en-US"/>
        </w:rPr>
        <w:t>2年度权益分派情况：</w:t>
      </w:r>
    </w:p>
    <w:p>
      <w:pPr>
        <w:spacing w:before="120" w:beforeLines="50" w:after="120" w:afterLines="50" w:line="360" w:lineRule="auto"/>
        <w:ind w:firstLine="480" w:firstLineChars="200"/>
        <w:jc w:val="both"/>
        <w:rPr>
          <w:rFonts w:hint="eastAsia" w:ascii="宋体" w:hAnsi="宋体" w:eastAsia="宋体" w:cs="Times New Roman"/>
          <w:sz w:val="24"/>
          <w:szCs w:val="21"/>
          <w:lang w:bidi="en-US"/>
        </w:rPr>
      </w:pPr>
      <w:r>
        <w:rPr>
          <w:rFonts w:hint="eastAsia" w:ascii="宋体" w:hAnsi="宋体" w:eastAsia="宋体" w:cs="Times New Roman"/>
          <w:sz w:val="24"/>
          <w:szCs w:val="21"/>
          <w:lang w:bidi="en-US"/>
        </w:rPr>
        <w:t>公司于2023年4月20日公告了《2022年度分红派息、转增股本实施公告》，分配方案为：以公司现有总股本168,877,148.00股为基数，向全体股东每10股派3.000000元人民币现金，同时，以资本公积金向全体股东每10股转增3.000000股。上述分红派息已经于2023年4月28日实施完毕。</w:t>
      </w:r>
    </w:p>
    <w:p>
      <w:pPr>
        <w:spacing w:before="120" w:beforeLines="50" w:after="120" w:afterLines="50" w:line="360" w:lineRule="auto"/>
        <w:ind w:firstLine="480" w:firstLineChars="200"/>
        <w:jc w:val="both"/>
        <w:rPr>
          <w:rFonts w:ascii="宋体" w:hAnsi="宋体" w:eastAsia="宋体" w:cs="宋体"/>
          <w:color w:val="000000"/>
          <w:sz w:val="24"/>
        </w:rPr>
      </w:pPr>
      <w:r>
        <w:rPr>
          <w:rFonts w:hint="eastAsia" w:ascii="宋体" w:hAnsi="宋体" w:eastAsia="宋体" w:cs="宋体"/>
          <w:color w:val="000000"/>
          <w:sz w:val="24"/>
        </w:rPr>
        <w:t>基于上述分红派息、转增股本方案的实施情况，对公司首次授予及预留授予的限制性股票回购价格调整如下：</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调整后的回购价格=（4</w:t>
      </w:r>
      <w:r>
        <w:rPr>
          <w:rFonts w:ascii="宋体" w:hAnsi="宋体" w:eastAsia="宋体" w:cs="Times New Roman"/>
          <w:sz w:val="24"/>
          <w:szCs w:val="21"/>
          <w:lang w:bidi="en-US"/>
        </w:rPr>
        <w:t>.65</w:t>
      </w:r>
      <w:r>
        <w:rPr>
          <w:rFonts w:hint="eastAsia" w:ascii="宋体" w:hAnsi="宋体" w:eastAsia="宋体" w:cs="Times New Roman"/>
          <w:sz w:val="24"/>
          <w:szCs w:val="21"/>
          <w:lang w:bidi="en-US"/>
        </w:rPr>
        <w:t>-</w:t>
      </w:r>
      <w:r>
        <w:rPr>
          <w:rFonts w:ascii="宋体" w:hAnsi="宋体" w:eastAsia="宋体" w:cs="Times New Roman"/>
          <w:sz w:val="24"/>
          <w:szCs w:val="21"/>
          <w:lang w:bidi="en-US"/>
        </w:rPr>
        <w:t>0.3</w:t>
      </w:r>
      <w:r>
        <w:rPr>
          <w:rFonts w:hint="eastAsia" w:ascii="宋体" w:hAnsi="宋体" w:eastAsia="宋体" w:cs="Times New Roman"/>
          <w:sz w:val="24"/>
          <w:szCs w:val="21"/>
          <w:lang w:bidi="en-US"/>
        </w:rPr>
        <w:t>）÷（1+</w:t>
      </w:r>
      <w:r>
        <w:rPr>
          <w:rFonts w:ascii="宋体" w:hAnsi="宋体" w:eastAsia="宋体" w:cs="Times New Roman"/>
          <w:sz w:val="24"/>
          <w:szCs w:val="21"/>
          <w:lang w:bidi="en-US"/>
        </w:rPr>
        <w:t>0.3</w:t>
      </w:r>
      <w:r>
        <w:rPr>
          <w:rFonts w:hint="eastAsia" w:ascii="宋体" w:hAnsi="宋体" w:eastAsia="宋体" w:cs="Times New Roman"/>
          <w:sz w:val="24"/>
          <w:szCs w:val="21"/>
          <w:lang w:bidi="en-US"/>
        </w:rPr>
        <w:t>）=</w:t>
      </w:r>
      <w:r>
        <w:rPr>
          <w:rFonts w:ascii="宋体" w:hAnsi="宋体" w:eastAsia="宋体" w:cs="Times New Roman"/>
          <w:sz w:val="24"/>
          <w:szCs w:val="21"/>
          <w:lang w:bidi="en-US"/>
        </w:rPr>
        <w:t>3.35</w:t>
      </w:r>
      <w:r>
        <w:rPr>
          <w:rFonts w:hint="eastAsia" w:ascii="宋体" w:hAnsi="宋体" w:eastAsia="宋体" w:cs="Times New Roman"/>
          <w:sz w:val="24"/>
          <w:szCs w:val="21"/>
          <w:lang w:bidi="en-US"/>
        </w:rPr>
        <w:t>元/股。</w:t>
      </w:r>
    </w:p>
    <w:p>
      <w:pPr>
        <w:spacing w:before="120" w:beforeLines="50" w:after="120" w:afterLines="50" w:line="360" w:lineRule="auto"/>
        <w:ind w:firstLine="480" w:firstLineChars="200"/>
        <w:jc w:val="both"/>
        <w:rPr>
          <w:rFonts w:asciiTheme="minorEastAsia" w:hAnsiTheme="minorEastAsia" w:eastAsiaTheme="minorEastAsia"/>
          <w:sz w:val="24"/>
          <w:szCs w:val="23"/>
        </w:rPr>
      </w:pPr>
      <w:r>
        <w:rPr>
          <w:rFonts w:hint="eastAsia" w:asciiTheme="minorEastAsia" w:hAnsiTheme="minorEastAsia" w:eastAsiaTheme="minorEastAsia"/>
          <w:sz w:val="24"/>
          <w:szCs w:val="23"/>
        </w:rPr>
        <w:t>2023年8月29日，公司分别召开了第四届董事会第二十五次会议和第四届监事会第十九次会议，审议通过了《关于调整2021年限制性股票激励计划回购数量及价格的议案》，因2022年权益分配事项，同意调整2021年限制性股票激励计划回购价格为3.35元/股。</w:t>
      </w:r>
    </w:p>
    <w:p>
      <w:pPr>
        <w:numPr>
          <w:ilvl w:val="0"/>
          <w:numId w:val="1"/>
        </w:num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本次回购注销股份的种类、数量及占本次股权激励计划涉及的标的股票的比例、占总股本的比例</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根据《激励计划》的规定，本次回购注销的股份种类为人民币普通股，回购注销的股票数量为</w:t>
      </w:r>
      <w:r>
        <w:rPr>
          <w:rFonts w:ascii="宋体" w:hAnsi="宋体" w:eastAsia="宋体" w:cs="Times New Roman"/>
          <w:sz w:val="24"/>
          <w:szCs w:val="21"/>
          <w:lang w:bidi="en-US"/>
        </w:rPr>
        <w:t>171,405</w:t>
      </w:r>
      <w:r>
        <w:rPr>
          <w:rFonts w:hint="eastAsia" w:ascii="宋体" w:hAnsi="宋体" w:eastAsia="宋体" w:cs="Times New Roman"/>
          <w:sz w:val="24"/>
          <w:szCs w:val="21"/>
          <w:lang w:bidi="en-US"/>
        </w:rPr>
        <w:t>股，占本次股权激励计划合计授予的限制性股票比例为</w:t>
      </w:r>
      <w:r>
        <w:rPr>
          <w:rFonts w:ascii="宋体" w:hAnsi="宋体" w:eastAsia="宋体" w:cs="Times New Roman"/>
          <w:sz w:val="24"/>
          <w:szCs w:val="21"/>
          <w:lang w:bidi="en-US"/>
        </w:rPr>
        <w:t>4.3912%，占回购注销前总股本比例为</w:t>
      </w:r>
      <w:r>
        <w:rPr>
          <w:rFonts w:hint="eastAsia" w:ascii="宋体" w:hAnsi="宋体" w:eastAsia="宋体" w:cs="Times New Roman"/>
          <w:sz w:val="24"/>
          <w:szCs w:val="21"/>
          <w:lang w:bidi="en-US"/>
        </w:rPr>
        <w:t>0.0</w:t>
      </w:r>
      <w:r>
        <w:rPr>
          <w:rFonts w:ascii="宋体" w:hAnsi="宋体" w:eastAsia="宋体" w:cs="Times New Roman"/>
          <w:sz w:val="24"/>
          <w:szCs w:val="21"/>
          <w:lang w:bidi="en-US"/>
        </w:rPr>
        <w:t>781%</w:t>
      </w:r>
      <w:r>
        <w:rPr>
          <w:rFonts w:hint="eastAsia" w:ascii="宋体" w:hAnsi="宋体" w:eastAsia="宋体" w:cs="Times New Roman"/>
          <w:sz w:val="24"/>
          <w:szCs w:val="21"/>
          <w:lang w:bidi="en-US"/>
        </w:rPr>
        <w:t>。</w:t>
      </w:r>
    </w:p>
    <w:p>
      <w:pPr>
        <w:numPr>
          <w:ilvl w:val="0"/>
          <w:numId w:val="1"/>
        </w:numPr>
        <w:spacing w:before="120" w:beforeLines="50" w:after="120" w:afterLines="50" w:line="360" w:lineRule="auto"/>
        <w:ind w:firstLine="570"/>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预计回购注销前后股本结构变动情况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1426"/>
        <w:gridCol w:w="1386"/>
        <w:gridCol w:w="1226"/>
        <w:gridCol w:w="145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870" w:type="dxa"/>
            <w:vMerge w:val="restart"/>
            <w:shd w:val="clear" w:color="auto" w:fill="D8D8D8" w:themeFill="background1" w:themeFillShade="D9"/>
            <w:vAlign w:val="center"/>
          </w:tcPr>
          <w:p>
            <w:pPr>
              <w:keepNext w:val="0"/>
              <w:keepLines w:val="0"/>
              <w:widowControl/>
              <w:suppressLineNumbers w:val="0"/>
              <w:jc w:val="center"/>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股份性质</w:t>
            </w:r>
          </w:p>
        </w:tc>
        <w:tc>
          <w:tcPr>
            <w:tcW w:w="2532" w:type="dxa"/>
            <w:gridSpan w:val="2"/>
            <w:shd w:val="clear" w:color="auto" w:fill="D8D8D8" w:themeFill="background1" w:themeFillShade="D9"/>
            <w:vAlign w:val="center"/>
          </w:tcPr>
          <w:p>
            <w:pPr>
              <w:keepNext w:val="0"/>
              <w:keepLines w:val="0"/>
              <w:widowControl/>
              <w:suppressLineNumbers w:val="0"/>
              <w:jc w:val="center"/>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本次回购注销前</w:t>
            </w:r>
          </w:p>
        </w:tc>
        <w:tc>
          <w:tcPr>
            <w:tcW w:w="1277" w:type="dxa"/>
            <w:vMerge w:val="restart"/>
            <w:shd w:val="clear" w:color="auto" w:fill="D8D8D8" w:themeFill="background1" w:themeFillShade="D9"/>
            <w:vAlign w:val="center"/>
          </w:tcPr>
          <w:p>
            <w:pPr>
              <w:keepNext w:val="0"/>
              <w:keepLines w:val="0"/>
              <w:widowControl/>
              <w:suppressLineNumbers w:val="0"/>
              <w:jc w:val="center"/>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变动数（</w:t>
            </w:r>
            <w:r>
              <w:rPr>
                <w:rFonts w:hint="eastAsia" w:ascii="宋体" w:hAnsi="宋体" w:eastAsia="宋体" w:cs="宋体"/>
                <w:b/>
                <w:bCs/>
                <w:i w:val="0"/>
                <w:iCs w:val="0"/>
                <w:color w:val="000000"/>
                <w:kern w:val="0"/>
                <w:sz w:val="22"/>
                <w:szCs w:val="22"/>
                <w:u w:val="none"/>
                <w:lang w:val="en-US" w:eastAsia="zh-CN" w:bidi="ar"/>
              </w:rPr>
              <w:t>+、-）</w:t>
            </w:r>
          </w:p>
        </w:tc>
        <w:tc>
          <w:tcPr>
            <w:tcW w:w="2843" w:type="dxa"/>
            <w:gridSpan w:val="2"/>
            <w:shd w:val="clear" w:color="auto" w:fill="D8D8D8" w:themeFill="background1" w:themeFillShade="D9"/>
            <w:vAlign w:val="center"/>
          </w:tcPr>
          <w:p>
            <w:pPr>
              <w:keepNext w:val="0"/>
              <w:keepLines w:val="0"/>
              <w:widowControl/>
              <w:suppressLineNumbers w:val="0"/>
              <w:jc w:val="center"/>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本次回购注销后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0" w:type="dxa"/>
            <w:vMerge w:val="continue"/>
            <w:shd w:val="clear" w:color="auto" w:fill="D8D8D8" w:themeFill="background1" w:themeFillShade="D9"/>
            <w:vAlign w:val="center"/>
          </w:tcPr>
          <w:p>
            <w:pPr>
              <w:jc w:val="center"/>
              <w:rPr>
                <w:rFonts w:ascii="宋体" w:hAnsi="宋体"/>
                <w:b/>
                <w:lang w:bidi="en-US"/>
              </w:rPr>
            </w:pPr>
          </w:p>
        </w:tc>
        <w:tc>
          <w:tcPr>
            <w:tcW w:w="1254" w:type="dxa"/>
            <w:shd w:val="clear" w:color="auto" w:fill="D8D8D8" w:themeFill="background1" w:themeFillShade="D9"/>
            <w:vAlign w:val="center"/>
          </w:tcPr>
          <w:p>
            <w:pPr>
              <w:keepNext w:val="0"/>
              <w:keepLines w:val="0"/>
              <w:widowControl/>
              <w:suppressLineNumbers w:val="0"/>
              <w:jc w:val="center"/>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股份数量（股）</w:t>
            </w:r>
          </w:p>
        </w:tc>
        <w:tc>
          <w:tcPr>
            <w:tcW w:w="1478" w:type="dxa"/>
            <w:shd w:val="clear" w:color="auto" w:fill="D8D8D8" w:themeFill="background1" w:themeFillShade="D9"/>
            <w:vAlign w:val="center"/>
          </w:tcPr>
          <w:p>
            <w:pPr>
              <w:keepNext w:val="0"/>
              <w:keepLines w:val="0"/>
              <w:widowControl/>
              <w:suppressLineNumbers w:val="0"/>
              <w:jc w:val="center"/>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比例</w:t>
            </w:r>
          </w:p>
        </w:tc>
        <w:tc>
          <w:tcPr>
            <w:tcW w:w="1277" w:type="dxa"/>
            <w:vMerge w:val="continue"/>
            <w:shd w:val="clear" w:color="auto" w:fill="D8D8D8" w:themeFill="background1" w:themeFillShade="D9"/>
            <w:vAlign w:val="center"/>
          </w:tcPr>
          <w:p>
            <w:pPr>
              <w:jc w:val="center"/>
              <w:rPr>
                <w:rFonts w:ascii="宋体" w:hAnsi="宋体"/>
                <w:b/>
                <w:lang w:bidi="en-US"/>
              </w:rPr>
            </w:pPr>
          </w:p>
        </w:tc>
        <w:tc>
          <w:tcPr>
            <w:tcW w:w="1458" w:type="dxa"/>
            <w:shd w:val="clear" w:color="auto" w:fill="D8D8D8" w:themeFill="background1" w:themeFillShade="D9"/>
            <w:vAlign w:val="center"/>
          </w:tcPr>
          <w:p>
            <w:pPr>
              <w:keepNext w:val="0"/>
              <w:keepLines w:val="0"/>
              <w:widowControl/>
              <w:suppressLineNumbers w:val="0"/>
              <w:jc w:val="both"/>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股份数量（股）</w:t>
            </w:r>
          </w:p>
        </w:tc>
        <w:tc>
          <w:tcPr>
            <w:tcW w:w="1459" w:type="dxa"/>
            <w:shd w:val="clear" w:color="auto" w:fill="D8D8D8" w:themeFill="background1" w:themeFillShade="D9"/>
            <w:vAlign w:val="center"/>
          </w:tcPr>
          <w:p>
            <w:pPr>
              <w:keepNext w:val="0"/>
              <w:keepLines w:val="0"/>
              <w:widowControl/>
              <w:suppressLineNumbers w:val="0"/>
              <w:jc w:val="center"/>
              <w:textAlignment w:val="center"/>
              <w:rPr>
                <w:rFonts w:ascii="宋体" w:hAnsi="宋体"/>
                <w:b/>
                <w:lang w:bidi="en-US"/>
              </w:rPr>
            </w:pPr>
            <w:r>
              <w:rPr>
                <w:rFonts w:hint="eastAsia" w:ascii="宋体" w:hAnsi="宋体" w:eastAsia="宋体" w:cs="宋体"/>
                <w:b/>
                <w:bCs/>
                <w:i w:val="0"/>
                <w:iCs w:val="0"/>
                <w:color w:val="000000"/>
                <w:kern w:val="0"/>
                <w:sz w:val="21"/>
                <w:szCs w:val="21"/>
                <w:u w:val="none"/>
                <w:lang w:val="en-US" w:eastAsia="zh-CN" w:bidi="ar"/>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870" w:type="dxa"/>
            <w:vAlign w:val="center"/>
          </w:tcPr>
          <w:p>
            <w:pPr>
              <w:keepNext w:val="0"/>
              <w:keepLines w:val="0"/>
              <w:widowControl/>
              <w:suppressLineNumbers w:val="0"/>
              <w:jc w:val="both"/>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一、有限售条件流通股</w:t>
            </w:r>
          </w:p>
        </w:tc>
        <w:tc>
          <w:tcPr>
            <w:tcW w:w="1254"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100,848,464</w:t>
            </w:r>
          </w:p>
        </w:tc>
        <w:tc>
          <w:tcPr>
            <w:tcW w:w="147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45.94%</w:t>
            </w:r>
          </w:p>
        </w:tc>
        <w:tc>
          <w:tcPr>
            <w:tcW w:w="1277"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-171,405</w:t>
            </w:r>
          </w:p>
        </w:tc>
        <w:tc>
          <w:tcPr>
            <w:tcW w:w="145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100,677,059</w:t>
            </w:r>
          </w:p>
        </w:tc>
        <w:tc>
          <w:tcPr>
            <w:tcW w:w="1459"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45.89%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870" w:type="dxa"/>
            <w:vAlign w:val="center"/>
          </w:tcPr>
          <w:p>
            <w:pPr>
              <w:keepNext w:val="0"/>
              <w:keepLines w:val="0"/>
              <w:widowControl/>
              <w:suppressLineNumbers w:val="0"/>
              <w:jc w:val="both"/>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1、股权激励限售股</w:t>
            </w:r>
          </w:p>
        </w:tc>
        <w:tc>
          <w:tcPr>
            <w:tcW w:w="1254" w:type="dxa"/>
            <w:vAlign w:val="center"/>
          </w:tcPr>
          <w:p>
            <w:pPr>
              <w:keepNext w:val="0"/>
              <w:keepLines w:val="0"/>
              <w:widowControl/>
              <w:suppressLineNumbers w:val="0"/>
              <w:jc w:val="center"/>
              <w:textAlignment w:val="center"/>
              <w:rPr>
                <w:rFonts w:ascii="宋体" w:hAnsi="宋体" w:eastAsia="宋体"/>
                <w:lang w:bidi="en-US"/>
              </w:rPr>
            </w:pPr>
            <w:r>
              <w:rPr>
                <w:rFonts w:hint="eastAsia" w:ascii="宋体" w:hAnsi="宋体" w:eastAsia="宋体" w:cs="宋体"/>
                <w:i w:val="0"/>
                <w:iCs w:val="0"/>
                <w:color w:val="000000"/>
                <w:kern w:val="0"/>
                <w:sz w:val="22"/>
                <w:szCs w:val="22"/>
                <w:u w:val="none"/>
                <w:lang w:val="en-US" w:eastAsia="zh-CN" w:bidi="ar"/>
              </w:rPr>
              <w:t>98,162,257</w:t>
            </w:r>
          </w:p>
        </w:tc>
        <w:tc>
          <w:tcPr>
            <w:tcW w:w="147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44.71%</w:t>
            </w:r>
          </w:p>
        </w:tc>
        <w:tc>
          <w:tcPr>
            <w:tcW w:w="1277"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-171,405</w:t>
            </w:r>
          </w:p>
        </w:tc>
        <w:tc>
          <w:tcPr>
            <w:tcW w:w="145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97,990,852</w:t>
            </w:r>
          </w:p>
        </w:tc>
        <w:tc>
          <w:tcPr>
            <w:tcW w:w="1459"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44.67%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keepNext w:val="0"/>
              <w:keepLines w:val="0"/>
              <w:widowControl/>
              <w:suppressLineNumbers w:val="0"/>
              <w:jc w:val="both"/>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2、高管锁定股</w:t>
            </w:r>
          </w:p>
        </w:tc>
        <w:tc>
          <w:tcPr>
            <w:tcW w:w="1254"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2,686,207</w:t>
            </w:r>
          </w:p>
        </w:tc>
        <w:tc>
          <w:tcPr>
            <w:tcW w:w="147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1.22%</w:t>
            </w:r>
          </w:p>
        </w:tc>
        <w:tc>
          <w:tcPr>
            <w:tcW w:w="1277" w:type="dxa"/>
            <w:vAlign w:val="center"/>
          </w:tcPr>
          <w:p>
            <w:pPr>
              <w:jc w:val="center"/>
              <w:rPr>
                <w:rFonts w:ascii="宋体" w:hAnsi="宋体" w:eastAsia="宋体"/>
                <w:lang w:bidi="en-US"/>
              </w:rPr>
            </w:pPr>
          </w:p>
        </w:tc>
        <w:tc>
          <w:tcPr>
            <w:tcW w:w="145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2,686,207</w:t>
            </w:r>
          </w:p>
        </w:tc>
        <w:tc>
          <w:tcPr>
            <w:tcW w:w="1459"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keepNext w:val="0"/>
              <w:keepLines w:val="0"/>
              <w:widowControl/>
              <w:suppressLineNumbers w:val="0"/>
              <w:jc w:val="both"/>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二、无限售条件流通股</w:t>
            </w:r>
          </w:p>
        </w:tc>
        <w:tc>
          <w:tcPr>
            <w:tcW w:w="1254"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118,691,828</w:t>
            </w:r>
          </w:p>
        </w:tc>
        <w:tc>
          <w:tcPr>
            <w:tcW w:w="147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54.06%</w:t>
            </w:r>
          </w:p>
        </w:tc>
        <w:tc>
          <w:tcPr>
            <w:tcW w:w="1277" w:type="dxa"/>
            <w:vAlign w:val="center"/>
          </w:tcPr>
          <w:p>
            <w:pPr>
              <w:jc w:val="center"/>
              <w:rPr>
                <w:rFonts w:ascii="宋体" w:hAnsi="宋体" w:eastAsia="宋体"/>
                <w:lang w:bidi="en-US"/>
              </w:rPr>
            </w:pPr>
          </w:p>
        </w:tc>
        <w:tc>
          <w:tcPr>
            <w:tcW w:w="145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118,691,828</w:t>
            </w:r>
          </w:p>
        </w:tc>
        <w:tc>
          <w:tcPr>
            <w:tcW w:w="1459"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54.11%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1"/>
                <w:szCs w:val="21"/>
                <w:u w:val="none"/>
                <w:lang w:val="en-US" w:eastAsia="zh-CN" w:bidi="ar"/>
              </w:rPr>
              <w:t>合计</w:t>
            </w:r>
          </w:p>
        </w:tc>
        <w:tc>
          <w:tcPr>
            <w:tcW w:w="1254"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219,540,292</w:t>
            </w:r>
          </w:p>
        </w:tc>
        <w:tc>
          <w:tcPr>
            <w:tcW w:w="1478" w:type="dxa"/>
            <w:vAlign w:val="center"/>
          </w:tcPr>
          <w:p>
            <w:pPr>
              <w:keepNext w:val="0"/>
              <w:keepLines w:val="0"/>
              <w:widowControl/>
              <w:suppressLineNumbers w:val="0"/>
              <w:jc w:val="center"/>
              <w:textAlignment w:val="center"/>
              <w:rPr>
                <w:rFonts w:ascii="宋体" w:hAnsi="宋体" w:eastAsia="宋体"/>
                <w:lang w:bidi="en-US"/>
              </w:rPr>
            </w:pPr>
            <w:r>
              <w:rPr>
                <w:rFonts w:hint="eastAsia" w:ascii="宋体" w:hAnsi="宋体" w:eastAsia="宋体" w:cs="宋体"/>
                <w:i w:val="0"/>
                <w:iCs w:val="0"/>
                <w:color w:val="000000"/>
                <w:kern w:val="0"/>
                <w:sz w:val="21"/>
                <w:szCs w:val="21"/>
                <w:u w:val="none"/>
                <w:lang w:val="en-US" w:eastAsia="zh-CN" w:bidi="ar"/>
              </w:rPr>
              <w:t>100.00%</w:t>
            </w:r>
          </w:p>
        </w:tc>
        <w:tc>
          <w:tcPr>
            <w:tcW w:w="1277"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-171,405</w:t>
            </w:r>
          </w:p>
        </w:tc>
        <w:tc>
          <w:tcPr>
            <w:tcW w:w="1458" w:type="dxa"/>
            <w:vAlign w:val="center"/>
          </w:tcPr>
          <w:p>
            <w:pPr>
              <w:keepNext w:val="0"/>
              <w:keepLines w:val="0"/>
              <w:widowControl/>
              <w:suppressLineNumbers w:val="0"/>
              <w:jc w:val="center"/>
              <w:textAlignment w:val="center"/>
              <w:rPr>
                <w:rFonts w:ascii="宋体" w:hAnsi="宋体"/>
                <w:lang w:bidi="en-US"/>
              </w:rPr>
            </w:pPr>
            <w:r>
              <w:rPr>
                <w:rFonts w:hint="eastAsia" w:ascii="宋体" w:hAnsi="宋体" w:eastAsia="宋体" w:cs="宋体"/>
                <w:i w:val="0"/>
                <w:iCs w:val="0"/>
                <w:color w:val="000000"/>
                <w:kern w:val="0"/>
                <w:sz w:val="22"/>
                <w:szCs w:val="22"/>
                <w:u w:val="none"/>
                <w:lang w:val="en-US" w:eastAsia="zh-CN" w:bidi="ar"/>
              </w:rPr>
              <w:t>219,368,887</w:t>
            </w:r>
          </w:p>
        </w:tc>
        <w:tc>
          <w:tcPr>
            <w:tcW w:w="1459" w:type="dxa"/>
            <w:vAlign w:val="center"/>
          </w:tcPr>
          <w:p>
            <w:pPr>
              <w:keepNext w:val="0"/>
              <w:keepLines w:val="0"/>
              <w:widowControl/>
              <w:suppressLineNumbers w:val="0"/>
              <w:jc w:val="center"/>
              <w:textAlignment w:val="center"/>
              <w:rPr>
                <w:rFonts w:ascii="宋体" w:hAnsi="宋体" w:eastAsia="宋体"/>
                <w:lang w:bidi="en-US"/>
              </w:rPr>
            </w:pPr>
            <w:r>
              <w:rPr>
                <w:rFonts w:hint="eastAsia" w:ascii="宋体" w:hAnsi="宋体" w:eastAsia="宋体" w:cs="宋体"/>
                <w:i w:val="0"/>
                <w:iCs w:val="0"/>
                <w:color w:val="000000"/>
                <w:kern w:val="0"/>
                <w:sz w:val="22"/>
                <w:szCs w:val="22"/>
                <w:u w:val="none"/>
                <w:lang w:val="en-US" w:eastAsia="zh-CN" w:bidi="ar"/>
              </w:rPr>
              <w:t>100.00%</w:t>
            </w:r>
          </w:p>
        </w:tc>
      </w:tr>
    </w:tbl>
    <w:p>
      <w:pPr>
        <w:pStyle w:val="18"/>
        <w:spacing w:before="120" w:beforeLines="50" w:after="120" w:afterLines="50" w:line="360" w:lineRule="auto"/>
        <w:ind w:firstLine="420" w:firstLineChars="200"/>
        <w:rPr>
          <w:rFonts w:ascii="宋体" w:hAnsi="宋体"/>
          <w:lang w:bidi="en-US"/>
        </w:rPr>
      </w:pPr>
      <w:r>
        <w:rPr>
          <w:rFonts w:hint="eastAsia" w:ascii="宋体" w:hAnsi="宋体"/>
          <w:lang w:bidi="en-US"/>
        </w:rPr>
        <w:t>（备注：1、本表中合计数与各明细数直接相加之和在尾数上如有差异，是由于四舍五入所造成。2、实际情况应以回购注销事项完成后中国证券登记结算有限公司深圳分公司出具的股本结构表为准。）</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上述股票的拟回购注销将导致公司股份总数减少171,405股，公司总股本将由219,540,292</w:t>
      </w:r>
      <w:r>
        <w:rPr>
          <w:rFonts w:hint="eastAsia" w:asciiTheme="minorEastAsia" w:hAnsiTheme="minorEastAsia" w:eastAsiaTheme="minorEastAsia"/>
          <w:sz w:val="24"/>
          <w:szCs w:val="23"/>
        </w:rPr>
        <w:t>股变更为</w:t>
      </w:r>
      <w:r>
        <w:rPr>
          <w:rFonts w:hint="eastAsia" w:ascii="宋体" w:hAnsi="宋体" w:eastAsia="宋体" w:cs="Times New Roman"/>
          <w:sz w:val="24"/>
          <w:szCs w:val="21"/>
          <w:lang w:bidi="en-US"/>
        </w:rPr>
        <w:t>219,368,887</w:t>
      </w:r>
      <w:r>
        <w:rPr>
          <w:rFonts w:hint="eastAsia" w:asciiTheme="minorEastAsia" w:hAnsiTheme="minorEastAsia" w:eastAsiaTheme="minorEastAsia"/>
          <w:sz w:val="24"/>
          <w:szCs w:val="23"/>
        </w:rPr>
        <w:t>股</w:t>
      </w:r>
      <w:r>
        <w:rPr>
          <w:rFonts w:hint="eastAsia" w:ascii="宋体" w:hAnsi="宋体" w:eastAsia="宋体" w:cs="Times New Roman"/>
          <w:sz w:val="24"/>
          <w:szCs w:val="21"/>
          <w:lang w:bidi="en-US"/>
        </w:rPr>
        <w:t>。公司将在限制性股票回购注销办理完成后，将及时披露公司股份总数和股本结构的变</w:t>
      </w:r>
      <w:bookmarkStart w:id="4" w:name="_GoBack"/>
      <w:bookmarkEnd w:id="4"/>
      <w:r>
        <w:rPr>
          <w:rFonts w:hint="eastAsia" w:ascii="宋体" w:hAnsi="宋体" w:eastAsia="宋体" w:cs="Times New Roman"/>
          <w:sz w:val="24"/>
          <w:szCs w:val="21"/>
          <w:lang w:bidi="en-US"/>
        </w:rPr>
        <w:t xml:space="preserve">动情况。 </w:t>
      </w:r>
    </w:p>
    <w:p>
      <w:pPr>
        <w:numPr>
          <w:ilvl w:val="0"/>
          <w:numId w:val="1"/>
        </w:num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本次回购注销对公司的影响 </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本次对公司限制性股票回购注销不会对公司的财务状况和经营成果产生重大影响。不影响公司2021年限制性股票激励计划的继续实施。公司管理团队将继续认真履行工作职责，尽力为股东创造价值。</w:t>
      </w:r>
    </w:p>
    <w:p>
      <w:pPr>
        <w:numPr>
          <w:ilvl w:val="0"/>
          <w:numId w:val="1"/>
        </w:num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独立董事意见</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由于公司4名激励对象因个人原因离职，已不符合公司限制性股票激励计划中有关激励对象的规定，其所持有的未解禁部分股票全部回购；</w:t>
      </w:r>
      <w:r>
        <w:rPr>
          <w:rFonts w:hint="eastAsia" w:asciiTheme="minorEastAsia" w:hAnsiTheme="minorEastAsia" w:eastAsiaTheme="minorEastAsia"/>
          <w:sz w:val="24"/>
          <w:szCs w:val="23"/>
        </w:rPr>
        <w:t>1名激励对象绩效考核为不合格，不符合解锁条件；2名激励对象绩效考核为合格，可以申请解除当期80%限售股份；1名激励对象绩效考核为良好，可以申请解除当期90%限售股份，</w:t>
      </w:r>
      <w:bookmarkStart w:id="3" w:name="_Hlk147838241"/>
      <w:r>
        <w:rPr>
          <w:rFonts w:hint="eastAsia" w:ascii="宋体" w:hAnsi="宋体" w:eastAsia="宋体" w:cs="Times New Roman"/>
          <w:sz w:val="24"/>
          <w:szCs w:val="21"/>
          <w:lang w:bidi="en-US"/>
        </w:rPr>
        <w:t>前述4名激励对象其所持有的本期未解禁部分股票全部回购，</w:t>
      </w:r>
      <w:bookmarkEnd w:id="3"/>
      <w:r>
        <w:rPr>
          <w:rFonts w:hint="eastAsia" w:ascii="宋体" w:hAnsi="宋体" w:eastAsia="宋体" w:cs="Times New Roman"/>
          <w:sz w:val="24"/>
          <w:szCs w:val="21"/>
          <w:lang w:bidi="en-US"/>
        </w:rPr>
        <w:t>经公司董事会审议，决定回购注销其已获授但尚未解除限售的限制性股票合计171,405股。我们认为上述回购注销部分已授予但尚未解除限售的限制性股票事项，符合《上市公司股权激励管理办法》《激励计划》和《20</w:t>
      </w:r>
      <w:r>
        <w:rPr>
          <w:rFonts w:ascii="宋体" w:hAnsi="宋体" w:eastAsia="宋体" w:cs="Times New Roman"/>
          <w:sz w:val="24"/>
          <w:szCs w:val="21"/>
          <w:lang w:bidi="en-US"/>
        </w:rPr>
        <w:t>21</w:t>
      </w:r>
      <w:r>
        <w:rPr>
          <w:rFonts w:hint="eastAsia" w:ascii="宋体" w:hAnsi="宋体" w:eastAsia="宋体" w:cs="Times New Roman"/>
          <w:sz w:val="24"/>
          <w:szCs w:val="21"/>
          <w:lang w:bidi="en-US"/>
        </w:rPr>
        <w:t xml:space="preserve">年限制性股票激励计划实施考核管理办法》等相关法律、法规的规定，程序合法、合规，公司本次回购注销不影响公司持续经营，也不会损害公司及全体股东利益。我们同意上述回购注销部分限制性股票事项。 </w:t>
      </w:r>
    </w:p>
    <w:p>
      <w:pPr>
        <w:numPr>
          <w:ilvl w:val="0"/>
          <w:numId w:val="1"/>
        </w:num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监事会意见</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Theme="minorEastAsia" w:hAnsiTheme="minorEastAsia" w:eastAsiaTheme="minorEastAsia"/>
          <w:sz w:val="24"/>
          <w:szCs w:val="23"/>
        </w:rPr>
        <w:t>鉴于公司 2021年限制性股票激励计划首次授予部分的激励对象1名人员因个人原因离职，不符合解锁条件；1名激励对象绩效考核为不合格，不符合解锁条件；2名激励对象绩效考核为合格，可以申请解除当期80%限售股份；1名激励对象绩效考核为良好，可以申请解除当期90%限售股份；2021年限制性股票激励计划激励预留部分的激励对象3名人员因个人原因离职，不符合解锁条件；根据公司《2021年限制性股票激励计划（草案）》的规定，公司董事会决定对</w:t>
      </w:r>
      <w:r>
        <w:rPr>
          <w:rFonts w:hint="eastAsia" w:ascii="宋体" w:hAnsi="宋体" w:eastAsia="宋体" w:cs="Times New Roman"/>
          <w:sz w:val="24"/>
          <w:szCs w:val="21"/>
          <w:lang w:bidi="en-US"/>
        </w:rPr>
        <w:t>4名离职人员、4名个人绩效考核未达优秀的人员</w:t>
      </w:r>
      <w:r>
        <w:rPr>
          <w:rFonts w:hint="eastAsia" w:asciiTheme="minorEastAsia" w:hAnsiTheme="minorEastAsia" w:eastAsiaTheme="minorEastAsia"/>
          <w:sz w:val="24"/>
          <w:szCs w:val="23"/>
        </w:rPr>
        <w:t>已获授但尚未解锁的171,405股限制性股票进行回购注销，回购价格为3.35元/股，回购金额为574,206.75元，回购资金为公司自有资金。本次回购注销的限制性股票合计171,405股，占本次股权激励计划合计授予的限制性股票比例为</w:t>
      </w:r>
      <w:r>
        <w:rPr>
          <w:rFonts w:hint="eastAsia" w:ascii="宋体" w:hAnsi="宋体" w:eastAsia="宋体" w:cs="Times New Roman"/>
          <w:sz w:val="24"/>
          <w:szCs w:val="21"/>
          <w:lang w:bidi="en-US"/>
        </w:rPr>
        <w:t>4.3912</w:t>
      </w:r>
      <w:r>
        <w:rPr>
          <w:rFonts w:hint="eastAsia" w:asciiTheme="minorEastAsia" w:hAnsiTheme="minorEastAsia" w:eastAsiaTheme="minorEastAsia"/>
          <w:sz w:val="24"/>
          <w:szCs w:val="23"/>
        </w:rPr>
        <w:t>%，占回购注销前总股本比例为</w:t>
      </w:r>
      <w:r>
        <w:rPr>
          <w:rFonts w:hint="eastAsia" w:ascii="宋体" w:hAnsi="宋体" w:eastAsia="宋体" w:cs="Times New Roman"/>
          <w:sz w:val="24"/>
          <w:szCs w:val="21"/>
          <w:lang w:bidi="en-US"/>
        </w:rPr>
        <w:t>0.0781</w:t>
      </w:r>
      <w:r>
        <w:rPr>
          <w:rFonts w:hint="eastAsia" w:asciiTheme="minorEastAsia" w:hAnsiTheme="minorEastAsia" w:eastAsiaTheme="minorEastAsia"/>
          <w:sz w:val="24"/>
          <w:szCs w:val="23"/>
        </w:rPr>
        <w:t>%。公司董事会关于本次回购注销部分限制性股票的审议程序符合相关规定，合法有效，</w:t>
      </w:r>
      <w:r>
        <w:rPr>
          <w:rFonts w:hint="eastAsia" w:ascii="宋体" w:hAnsi="宋体" w:eastAsia="宋体" w:cs="Times New Roman"/>
          <w:sz w:val="24"/>
          <w:szCs w:val="21"/>
          <w:lang w:bidi="en-US"/>
        </w:rPr>
        <w:t>监事会同意上述回购注销部分限制性股票事项</w:t>
      </w:r>
      <w:r>
        <w:rPr>
          <w:rFonts w:hint="eastAsia" w:asciiTheme="minorEastAsia" w:hAnsiTheme="minorEastAsia" w:eastAsiaTheme="minorEastAsia"/>
          <w:sz w:val="24"/>
          <w:szCs w:val="23"/>
        </w:rPr>
        <w:t>。</w:t>
      </w:r>
      <w:r>
        <w:rPr>
          <w:rFonts w:hint="eastAsia" w:ascii="宋体" w:hAnsi="宋体" w:eastAsia="宋体" w:cs="Times New Roman"/>
          <w:sz w:val="24"/>
          <w:szCs w:val="21"/>
          <w:lang w:bidi="en-US"/>
        </w:rPr>
        <w:t xml:space="preserve"> </w:t>
      </w:r>
    </w:p>
    <w:p>
      <w:pPr>
        <w:numPr>
          <w:ilvl w:val="0"/>
          <w:numId w:val="1"/>
        </w:num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律师出具的法律意见</w:t>
      </w:r>
    </w:p>
    <w:p>
      <w:pPr>
        <w:spacing w:before="120" w:beforeLines="50" w:after="120" w:afterLines="50" w:line="360" w:lineRule="auto"/>
        <w:ind w:firstLine="480" w:firstLineChars="200"/>
        <w:jc w:val="both"/>
        <w:rPr>
          <w:rFonts w:ascii="宋体" w:hAnsi="宋体" w:eastAsia="宋体" w:cs="Times New Roman"/>
          <w:sz w:val="24"/>
          <w:szCs w:val="21"/>
          <w:lang w:bidi="en-US"/>
        </w:rPr>
      </w:pPr>
      <w:r>
        <w:rPr>
          <w:rFonts w:hint="eastAsia" w:ascii="宋体" w:hAnsi="宋体" w:eastAsia="宋体" w:cs="Times New Roman"/>
          <w:sz w:val="24"/>
          <w:szCs w:val="21"/>
          <w:lang w:bidi="en-US"/>
        </w:rPr>
        <w:t>公司对4名离职人员、4名个人绩效考核未达优秀的人员已获授但尚未解除限售的限制性股票</w:t>
      </w:r>
      <w:r>
        <w:rPr>
          <w:rFonts w:hint="eastAsia" w:asciiTheme="minorEastAsia" w:hAnsiTheme="minorEastAsia" w:eastAsiaTheme="minorEastAsia"/>
          <w:sz w:val="24"/>
          <w:szCs w:val="23"/>
        </w:rPr>
        <w:t>予以回购注销</w:t>
      </w:r>
      <w:r>
        <w:rPr>
          <w:rFonts w:asciiTheme="minorEastAsia" w:hAnsiTheme="minorEastAsia" w:eastAsiaTheme="minorEastAsia"/>
          <w:sz w:val="24"/>
          <w:szCs w:val="23"/>
        </w:rPr>
        <w:t>，</w:t>
      </w:r>
      <w:r>
        <w:rPr>
          <w:rFonts w:hint="eastAsia" w:ascii="宋体" w:hAnsi="宋体" w:eastAsia="宋体" w:cs="Times New Roman"/>
          <w:sz w:val="24"/>
          <w:szCs w:val="21"/>
          <w:lang w:bidi="en-US"/>
        </w:rPr>
        <w:t>回购原因、数量及价格均符合《管理办法》及《激励计划》的有关规定。该等回购注销已履行现阶段必要的法律程序，尚需提交202</w:t>
      </w:r>
      <w:r>
        <w:rPr>
          <w:rFonts w:ascii="宋体" w:hAnsi="宋体" w:eastAsia="宋体" w:cs="Times New Roman"/>
          <w:sz w:val="24"/>
          <w:szCs w:val="21"/>
          <w:lang w:bidi="en-US"/>
        </w:rPr>
        <w:t>3</w:t>
      </w:r>
      <w:r>
        <w:rPr>
          <w:rFonts w:hint="eastAsia" w:ascii="宋体" w:hAnsi="宋体" w:eastAsia="宋体" w:cs="Times New Roman"/>
          <w:sz w:val="24"/>
          <w:szCs w:val="21"/>
          <w:lang w:bidi="en-US"/>
        </w:rPr>
        <w:t xml:space="preserve">年第三次临时股东大会审议批准并按照《公司法》及相关规定办理回购注销手续及减资的工商变更手续。 </w:t>
      </w:r>
    </w:p>
    <w:p>
      <w:pPr>
        <w:numPr>
          <w:ilvl w:val="0"/>
          <w:numId w:val="1"/>
        </w:numPr>
        <w:spacing w:before="120" w:beforeLines="50" w:after="120" w:afterLines="50" w:line="360" w:lineRule="auto"/>
        <w:ind w:firstLine="482" w:firstLineChars="200"/>
        <w:jc w:val="both"/>
        <w:rPr>
          <w:rFonts w:asciiTheme="minorEastAsia" w:hAnsiTheme="minorEastAsia" w:eastAsiaTheme="minorEastAsia"/>
          <w:b/>
          <w:sz w:val="24"/>
          <w:szCs w:val="24"/>
        </w:rPr>
      </w:pPr>
      <w:r>
        <w:rPr>
          <w:rFonts w:hint="eastAsia" w:asciiTheme="minorEastAsia" w:hAnsiTheme="minorEastAsia" w:eastAsiaTheme="minorEastAsia"/>
          <w:b/>
          <w:sz w:val="24"/>
          <w:szCs w:val="24"/>
        </w:rPr>
        <w:t>备查文件</w:t>
      </w:r>
    </w:p>
    <w:p>
      <w:pPr>
        <w:spacing w:before="120" w:beforeLines="50" w:after="120" w:afterLines="50" w:line="360" w:lineRule="auto"/>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1．《青岛伟隆阀门股份有限公司第四届董事会第二十六次会议决议》；</w:t>
      </w:r>
    </w:p>
    <w:p>
      <w:pPr>
        <w:spacing w:before="120" w:beforeLines="50" w:after="120" w:afterLines="50" w:line="360" w:lineRule="auto"/>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2．《青岛伟隆阀门股份有限公司第四届监事会第二十次会议决议》；</w:t>
      </w:r>
    </w:p>
    <w:p>
      <w:pPr>
        <w:spacing w:before="120" w:beforeLines="50" w:after="120" w:afterLines="50" w:line="360" w:lineRule="auto"/>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3．《青岛伟隆阀门股份有限公司独立董事关于第四届董事会第二十六次会议相关事项的独立意见》；</w:t>
      </w:r>
    </w:p>
    <w:p>
      <w:pPr>
        <w:spacing w:before="120" w:beforeLines="50" w:after="50" w:line="360" w:lineRule="auto"/>
        <w:ind w:firstLine="480" w:firstLineChars="200"/>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4.《北京德和衡律师事务所关于青岛伟隆阀门股份有限公司20</w:t>
      </w:r>
      <w:r>
        <w:rPr>
          <w:rFonts w:cs="宋体" w:asciiTheme="minorEastAsia" w:hAnsiTheme="minorEastAsia" w:eastAsiaTheme="minorEastAsia"/>
          <w:sz w:val="24"/>
          <w:szCs w:val="24"/>
        </w:rPr>
        <w:t>21</w:t>
      </w:r>
      <w:r>
        <w:rPr>
          <w:rFonts w:hint="eastAsia" w:cs="宋体" w:asciiTheme="minorEastAsia" w:hAnsiTheme="minorEastAsia" w:eastAsiaTheme="minorEastAsia"/>
          <w:sz w:val="24"/>
          <w:szCs w:val="24"/>
        </w:rPr>
        <w:t>年限制性股票激励计划首次授予部分第二次解除限售及回购注销部分限制性股票相关事项的法律意见书》。</w:t>
      </w:r>
    </w:p>
    <w:p>
      <w:pPr>
        <w:spacing w:before="120" w:beforeLines="50" w:after="120" w:afterLines="50" w:line="360" w:lineRule="auto"/>
        <w:ind w:firstLine="480" w:firstLineChars="200"/>
        <w:jc w:val="both"/>
        <w:rPr>
          <w:rFonts w:asciiTheme="minorEastAsia" w:hAnsiTheme="minorEastAsia" w:eastAsiaTheme="minorEastAsia"/>
          <w:sz w:val="24"/>
          <w:szCs w:val="24"/>
        </w:rPr>
      </w:pPr>
      <w:r>
        <w:rPr>
          <w:rFonts w:hint="eastAsia" w:asciiTheme="minorEastAsia" w:hAnsiTheme="minorEastAsia" w:eastAsiaTheme="minorEastAsia"/>
          <w:sz w:val="24"/>
        </w:rPr>
        <w:t>特此公告。</w:t>
      </w:r>
    </w:p>
    <w:p>
      <w:pPr>
        <w:spacing w:before="120" w:beforeLines="50" w:after="120" w:afterLines="50" w:line="360" w:lineRule="auto"/>
        <w:ind w:firstLine="480" w:firstLineChars="200"/>
        <w:rPr>
          <w:rFonts w:ascii="宋体" w:hAnsi="宋体" w:eastAsia="宋体" w:cs="Times New Roman"/>
          <w:sz w:val="24"/>
          <w:szCs w:val="21"/>
          <w:lang w:bidi="en-US"/>
        </w:rPr>
      </w:pPr>
    </w:p>
    <w:p>
      <w:pPr>
        <w:spacing w:before="120" w:beforeLines="50" w:after="120" w:afterLines="50"/>
        <w:ind w:firstLine="4560" w:firstLineChars="1900"/>
        <w:rPr>
          <w:rFonts w:asciiTheme="minorEastAsia" w:hAnsiTheme="minorEastAsia" w:eastAsiaTheme="minorEastAsia"/>
          <w:sz w:val="24"/>
          <w:szCs w:val="24"/>
        </w:rPr>
      </w:pPr>
      <w:r>
        <w:rPr>
          <w:rFonts w:hint="eastAsia" w:asciiTheme="minorEastAsia" w:hAnsiTheme="minorEastAsia" w:eastAsiaTheme="minorEastAsia"/>
          <w:sz w:val="24"/>
          <w:szCs w:val="24"/>
        </w:rPr>
        <w:t>青岛伟隆阀门股份有限公司</w:t>
      </w:r>
    </w:p>
    <w:p>
      <w:pPr>
        <w:spacing w:before="120" w:beforeLines="50" w:after="120" w:afterLines="50"/>
        <w:ind w:firstLine="5640" w:firstLineChars="235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董事会 </w:t>
      </w:r>
    </w:p>
    <w:p>
      <w:pPr>
        <w:spacing w:before="120" w:beforeLines="50" w:after="120" w:afterLines="50"/>
        <w:ind w:firstLine="5040" w:firstLineChars="2100"/>
        <w:rPr>
          <w:rFonts w:ascii="宋体" w:hAnsi="宋体" w:cs="宋体"/>
          <w:sz w:val="24"/>
        </w:rPr>
      </w:pPr>
      <w:r>
        <w:rPr>
          <w:rFonts w:hint="eastAsia" w:asciiTheme="minorEastAsia" w:hAnsiTheme="minorEastAsia" w:eastAsiaTheme="minorEastAsia"/>
          <w:sz w:val="24"/>
          <w:szCs w:val="24"/>
        </w:rPr>
        <w:t>2023年10月1</w:t>
      </w:r>
      <w:r>
        <w:rPr>
          <w:rFonts w:hint="default" w:asciiTheme="minorEastAsia" w:hAnsiTheme="minorEastAsia" w:eastAsiaTheme="minorEastAsia"/>
          <w:sz w:val="24"/>
          <w:szCs w:val="24"/>
          <w:lang w:val="en-US"/>
        </w:rPr>
        <w:t>9</w:t>
      </w:r>
      <w:r>
        <w:rPr>
          <w:rFonts w:hint="eastAsia" w:asciiTheme="minorEastAsia" w:hAnsiTheme="minorEastAsia" w:eastAsiaTheme="minorEastAsia"/>
          <w:sz w:val="24"/>
          <w:szCs w:val="24"/>
        </w:rPr>
        <w:t xml:space="preserve">日    </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F4719B"/>
    <w:multiLevelType w:val="singleLevel"/>
    <w:tmpl w:val="F4F4719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RiYWIwNzkzYTg0MzhhYmIxYTgwNmNhNDYxODQzNjMifQ=="/>
  </w:docVars>
  <w:rsids>
    <w:rsidRoot w:val="00D31D50"/>
    <w:rsid w:val="000133CD"/>
    <w:rsid w:val="00013B3B"/>
    <w:rsid w:val="00022A9E"/>
    <w:rsid w:val="00023BAC"/>
    <w:rsid w:val="00024323"/>
    <w:rsid w:val="00031AFA"/>
    <w:rsid w:val="000423A8"/>
    <w:rsid w:val="0006487F"/>
    <w:rsid w:val="00074DD9"/>
    <w:rsid w:val="0007768B"/>
    <w:rsid w:val="00080C5D"/>
    <w:rsid w:val="00083826"/>
    <w:rsid w:val="0009529D"/>
    <w:rsid w:val="000A0FB4"/>
    <w:rsid w:val="000B2414"/>
    <w:rsid w:val="000B5CC8"/>
    <w:rsid w:val="000B6DBF"/>
    <w:rsid w:val="000B7CCE"/>
    <w:rsid w:val="000C6274"/>
    <w:rsid w:val="000D6589"/>
    <w:rsid w:val="000E3FA3"/>
    <w:rsid w:val="00100F35"/>
    <w:rsid w:val="0010482D"/>
    <w:rsid w:val="00105553"/>
    <w:rsid w:val="0010568E"/>
    <w:rsid w:val="001106BD"/>
    <w:rsid w:val="001118CE"/>
    <w:rsid w:val="00115BE8"/>
    <w:rsid w:val="00121BA8"/>
    <w:rsid w:val="00123DE7"/>
    <w:rsid w:val="001306E7"/>
    <w:rsid w:val="00133091"/>
    <w:rsid w:val="00140D0E"/>
    <w:rsid w:val="00152297"/>
    <w:rsid w:val="0016383F"/>
    <w:rsid w:val="001840A0"/>
    <w:rsid w:val="00191D6D"/>
    <w:rsid w:val="00194B85"/>
    <w:rsid w:val="00197D9E"/>
    <w:rsid w:val="001B33ED"/>
    <w:rsid w:val="001C0510"/>
    <w:rsid w:val="001C2D84"/>
    <w:rsid w:val="001C4F3D"/>
    <w:rsid w:val="001C59F6"/>
    <w:rsid w:val="001C72E9"/>
    <w:rsid w:val="001D117B"/>
    <w:rsid w:val="001D4D05"/>
    <w:rsid w:val="001D5205"/>
    <w:rsid w:val="001E4C2B"/>
    <w:rsid w:val="001E5BA2"/>
    <w:rsid w:val="001E7A4C"/>
    <w:rsid w:val="001F18B8"/>
    <w:rsid w:val="001F476F"/>
    <w:rsid w:val="001F7A62"/>
    <w:rsid w:val="00205726"/>
    <w:rsid w:val="002268D0"/>
    <w:rsid w:val="002343E6"/>
    <w:rsid w:val="002373FF"/>
    <w:rsid w:val="00254B5C"/>
    <w:rsid w:val="00256DE7"/>
    <w:rsid w:val="00263DBE"/>
    <w:rsid w:val="00272087"/>
    <w:rsid w:val="00282248"/>
    <w:rsid w:val="002858DA"/>
    <w:rsid w:val="00285CE5"/>
    <w:rsid w:val="002B0EBD"/>
    <w:rsid w:val="002B159E"/>
    <w:rsid w:val="002B3806"/>
    <w:rsid w:val="002C4DF8"/>
    <w:rsid w:val="002F0E27"/>
    <w:rsid w:val="00304F62"/>
    <w:rsid w:val="00315304"/>
    <w:rsid w:val="00320D5B"/>
    <w:rsid w:val="00321606"/>
    <w:rsid w:val="00322965"/>
    <w:rsid w:val="00323B43"/>
    <w:rsid w:val="00330707"/>
    <w:rsid w:val="00333D61"/>
    <w:rsid w:val="003611C7"/>
    <w:rsid w:val="00371FC3"/>
    <w:rsid w:val="003836CA"/>
    <w:rsid w:val="003861A5"/>
    <w:rsid w:val="00397139"/>
    <w:rsid w:val="003B4DB1"/>
    <w:rsid w:val="003D37D8"/>
    <w:rsid w:val="003E6E49"/>
    <w:rsid w:val="004026E7"/>
    <w:rsid w:val="004054E9"/>
    <w:rsid w:val="00405E3D"/>
    <w:rsid w:val="004164C3"/>
    <w:rsid w:val="00421939"/>
    <w:rsid w:val="00424778"/>
    <w:rsid w:val="00426133"/>
    <w:rsid w:val="00430C7C"/>
    <w:rsid w:val="004358AB"/>
    <w:rsid w:val="0044283A"/>
    <w:rsid w:val="004435DA"/>
    <w:rsid w:val="004543EA"/>
    <w:rsid w:val="004562BF"/>
    <w:rsid w:val="00461DAC"/>
    <w:rsid w:val="004855E4"/>
    <w:rsid w:val="00497DD6"/>
    <w:rsid w:val="004A0AEE"/>
    <w:rsid w:val="004B5F5B"/>
    <w:rsid w:val="004C0D24"/>
    <w:rsid w:val="004D4CF5"/>
    <w:rsid w:val="004E1A97"/>
    <w:rsid w:val="004F387C"/>
    <w:rsid w:val="004F7417"/>
    <w:rsid w:val="00504912"/>
    <w:rsid w:val="00542E66"/>
    <w:rsid w:val="00542EC3"/>
    <w:rsid w:val="00547A07"/>
    <w:rsid w:val="00556CA9"/>
    <w:rsid w:val="005673E7"/>
    <w:rsid w:val="00575D7C"/>
    <w:rsid w:val="005856B9"/>
    <w:rsid w:val="00593E2E"/>
    <w:rsid w:val="00596292"/>
    <w:rsid w:val="005A4475"/>
    <w:rsid w:val="005B32C7"/>
    <w:rsid w:val="005C0288"/>
    <w:rsid w:val="005C270C"/>
    <w:rsid w:val="005C3A4D"/>
    <w:rsid w:val="005C5AC8"/>
    <w:rsid w:val="005C798E"/>
    <w:rsid w:val="005D290C"/>
    <w:rsid w:val="005D4FA7"/>
    <w:rsid w:val="005D6C16"/>
    <w:rsid w:val="005F0BBF"/>
    <w:rsid w:val="005F36CE"/>
    <w:rsid w:val="005F3F03"/>
    <w:rsid w:val="00607D7B"/>
    <w:rsid w:val="00617684"/>
    <w:rsid w:val="006234A3"/>
    <w:rsid w:val="006234D3"/>
    <w:rsid w:val="006405DA"/>
    <w:rsid w:val="00641D9C"/>
    <w:rsid w:val="006553C2"/>
    <w:rsid w:val="00661FA0"/>
    <w:rsid w:val="006B53EC"/>
    <w:rsid w:val="006B6A27"/>
    <w:rsid w:val="006C4E38"/>
    <w:rsid w:val="006E0E9B"/>
    <w:rsid w:val="006E5BCD"/>
    <w:rsid w:val="006E7605"/>
    <w:rsid w:val="006E76B5"/>
    <w:rsid w:val="006F3AC2"/>
    <w:rsid w:val="006F4987"/>
    <w:rsid w:val="00702023"/>
    <w:rsid w:val="00706841"/>
    <w:rsid w:val="00712C1E"/>
    <w:rsid w:val="007200AE"/>
    <w:rsid w:val="00723678"/>
    <w:rsid w:val="00736CCB"/>
    <w:rsid w:val="00741B87"/>
    <w:rsid w:val="00745A00"/>
    <w:rsid w:val="007536C2"/>
    <w:rsid w:val="00753B78"/>
    <w:rsid w:val="00760A31"/>
    <w:rsid w:val="00763722"/>
    <w:rsid w:val="00785158"/>
    <w:rsid w:val="007A4A5E"/>
    <w:rsid w:val="007A72B5"/>
    <w:rsid w:val="007A7E49"/>
    <w:rsid w:val="007C4641"/>
    <w:rsid w:val="007E25F6"/>
    <w:rsid w:val="007F1020"/>
    <w:rsid w:val="007F3BE7"/>
    <w:rsid w:val="00805271"/>
    <w:rsid w:val="00812000"/>
    <w:rsid w:val="00812732"/>
    <w:rsid w:val="00825861"/>
    <w:rsid w:val="008347DD"/>
    <w:rsid w:val="008353F0"/>
    <w:rsid w:val="008424D8"/>
    <w:rsid w:val="008507B4"/>
    <w:rsid w:val="00856162"/>
    <w:rsid w:val="008577FC"/>
    <w:rsid w:val="00862320"/>
    <w:rsid w:val="00862530"/>
    <w:rsid w:val="00881A67"/>
    <w:rsid w:val="00882566"/>
    <w:rsid w:val="00885EF3"/>
    <w:rsid w:val="008916A6"/>
    <w:rsid w:val="008948D7"/>
    <w:rsid w:val="00895B95"/>
    <w:rsid w:val="008A287C"/>
    <w:rsid w:val="008B7726"/>
    <w:rsid w:val="008C4867"/>
    <w:rsid w:val="008D17AC"/>
    <w:rsid w:val="008F2CD2"/>
    <w:rsid w:val="0090339E"/>
    <w:rsid w:val="0090420B"/>
    <w:rsid w:val="0090559A"/>
    <w:rsid w:val="00905751"/>
    <w:rsid w:val="0091337C"/>
    <w:rsid w:val="00931492"/>
    <w:rsid w:val="00957604"/>
    <w:rsid w:val="00962038"/>
    <w:rsid w:val="0096231F"/>
    <w:rsid w:val="00970166"/>
    <w:rsid w:val="0097585D"/>
    <w:rsid w:val="009815D2"/>
    <w:rsid w:val="0098339F"/>
    <w:rsid w:val="009867EA"/>
    <w:rsid w:val="0099464B"/>
    <w:rsid w:val="00996229"/>
    <w:rsid w:val="009A3013"/>
    <w:rsid w:val="009A3A37"/>
    <w:rsid w:val="009B3B69"/>
    <w:rsid w:val="009B4A98"/>
    <w:rsid w:val="009B7A89"/>
    <w:rsid w:val="009C0906"/>
    <w:rsid w:val="009C376A"/>
    <w:rsid w:val="009C4655"/>
    <w:rsid w:val="009C73EF"/>
    <w:rsid w:val="009E2F97"/>
    <w:rsid w:val="009F58D5"/>
    <w:rsid w:val="009F6E13"/>
    <w:rsid w:val="009F71CF"/>
    <w:rsid w:val="00A01235"/>
    <w:rsid w:val="00A01C75"/>
    <w:rsid w:val="00A02B6C"/>
    <w:rsid w:val="00A119D4"/>
    <w:rsid w:val="00A303AA"/>
    <w:rsid w:val="00A43BAB"/>
    <w:rsid w:val="00A53A38"/>
    <w:rsid w:val="00A53A82"/>
    <w:rsid w:val="00A7113F"/>
    <w:rsid w:val="00A943D9"/>
    <w:rsid w:val="00AB6CA0"/>
    <w:rsid w:val="00AC779D"/>
    <w:rsid w:val="00AD053D"/>
    <w:rsid w:val="00AD12CF"/>
    <w:rsid w:val="00AE1AF1"/>
    <w:rsid w:val="00AE6BB7"/>
    <w:rsid w:val="00AF0BFB"/>
    <w:rsid w:val="00AF586F"/>
    <w:rsid w:val="00AF66B0"/>
    <w:rsid w:val="00B00ACD"/>
    <w:rsid w:val="00B02113"/>
    <w:rsid w:val="00B022AB"/>
    <w:rsid w:val="00B20D1A"/>
    <w:rsid w:val="00B25E89"/>
    <w:rsid w:val="00B524CE"/>
    <w:rsid w:val="00B54D2E"/>
    <w:rsid w:val="00B616FA"/>
    <w:rsid w:val="00B66B52"/>
    <w:rsid w:val="00B70156"/>
    <w:rsid w:val="00B77036"/>
    <w:rsid w:val="00B93C7F"/>
    <w:rsid w:val="00BA2473"/>
    <w:rsid w:val="00BA2EED"/>
    <w:rsid w:val="00BA537F"/>
    <w:rsid w:val="00BA7825"/>
    <w:rsid w:val="00BB1843"/>
    <w:rsid w:val="00BC0CB7"/>
    <w:rsid w:val="00BC2A06"/>
    <w:rsid w:val="00BE2D68"/>
    <w:rsid w:val="00BE7564"/>
    <w:rsid w:val="00BE7F41"/>
    <w:rsid w:val="00C00963"/>
    <w:rsid w:val="00C05532"/>
    <w:rsid w:val="00C11DA5"/>
    <w:rsid w:val="00C12712"/>
    <w:rsid w:val="00C13DF9"/>
    <w:rsid w:val="00C31997"/>
    <w:rsid w:val="00C333B8"/>
    <w:rsid w:val="00C61CF7"/>
    <w:rsid w:val="00C61EB3"/>
    <w:rsid w:val="00C62F24"/>
    <w:rsid w:val="00C66033"/>
    <w:rsid w:val="00C66AD0"/>
    <w:rsid w:val="00C75AA8"/>
    <w:rsid w:val="00C8311E"/>
    <w:rsid w:val="00C83CFB"/>
    <w:rsid w:val="00C843B3"/>
    <w:rsid w:val="00C87B02"/>
    <w:rsid w:val="00C91ABA"/>
    <w:rsid w:val="00CB28D8"/>
    <w:rsid w:val="00CB4834"/>
    <w:rsid w:val="00CC0AED"/>
    <w:rsid w:val="00CD0469"/>
    <w:rsid w:val="00CD11B5"/>
    <w:rsid w:val="00CE3854"/>
    <w:rsid w:val="00CF39DB"/>
    <w:rsid w:val="00CF6812"/>
    <w:rsid w:val="00D007AE"/>
    <w:rsid w:val="00D023D4"/>
    <w:rsid w:val="00D031F8"/>
    <w:rsid w:val="00D0326F"/>
    <w:rsid w:val="00D117BF"/>
    <w:rsid w:val="00D12643"/>
    <w:rsid w:val="00D229FA"/>
    <w:rsid w:val="00D31D50"/>
    <w:rsid w:val="00D352A3"/>
    <w:rsid w:val="00D50A86"/>
    <w:rsid w:val="00D60743"/>
    <w:rsid w:val="00D60E15"/>
    <w:rsid w:val="00D64A80"/>
    <w:rsid w:val="00D72B81"/>
    <w:rsid w:val="00D747D1"/>
    <w:rsid w:val="00D87CD3"/>
    <w:rsid w:val="00D93814"/>
    <w:rsid w:val="00DA1374"/>
    <w:rsid w:val="00DA2064"/>
    <w:rsid w:val="00DB7401"/>
    <w:rsid w:val="00DC0C8B"/>
    <w:rsid w:val="00DC765F"/>
    <w:rsid w:val="00DD1C68"/>
    <w:rsid w:val="00DD3E59"/>
    <w:rsid w:val="00DD54E8"/>
    <w:rsid w:val="00DE2901"/>
    <w:rsid w:val="00E06883"/>
    <w:rsid w:val="00E117DE"/>
    <w:rsid w:val="00E16FB0"/>
    <w:rsid w:val="00E33C76"/>
    <w:rsid w:val="00E471C4"/>
    <w:rsid w:val="00E47D04"/>
    <w:rsid w:val="00E56877"/>
    <w:rsid w:val="00E654AD"/>
    <w:rsid w:val="00E65D02"/>
    <w:rsid w:val="00E65E91"/>
    <w:rsid w:val="00E71239"/>
    <w:rsid w:val="00E93451"/>
    <w:rsid w:val="00E97AF6"/>
    <w:rsid w:val="00EA1640"/>
    <w:rsid w:val="00EA2F11"/>
    <w:rsid w:val="00EB4454"/>
    <w:rsid w:val="00ED1A60"/>
    <w:rsid w:val="00ED2416"/>
    <w:rsid w:val="00ED41E8"/>
    <w:rsid w:val="00EE12F1"/>
    <w:rsid w:val="00F0022C"/>
    <w:rsid w:val="00F00B0B"/>
    <w:rsid w:val="00F05437"/>
    <w:rsid w:val="00F14B38"/>
    <w:rsid w:val="00F212C7"/>
    <w:rsid w:val="00F47D98"/>
    <w:rsid w:val="00F53072"/>
    <w:rsid w:val="00F5660A"/>
    <w:rsid w:val="00F63194"/>
    <w:rsid w:val="00F65A28"/>
    <w:rsid w:val="00F836C5"/>
    <w:rsid w:val="00F9053F"/>
    <w:rsid w:val="00F92E21"/>
    <w:rsid w:val="00FA6923"/>
    <w:rsid w:val="00FB4B02"/>
    <w:rsid w:val="00FC4AB2"/>
    <w:rsid w:val="00FC73B2"/>
    <w:rsid w:val="00FF66DC"/>
    <w:rsid w:val="01657CC1"/>
    <w:rsid w:val="01877D02"/>
    <w:rsid w:val="02627D27"/>
    <w:rsid w:val="02D93E26"/>
    <w:rsid w:val="04582CCD"/>
    <w:rsid w:val="049950A3"/>
    <w:rsid w:val="04F81371"/>
    <w:rsid w:val="05216551"/>
    <w:rsid w:val="080D5EE4"/>
    <w:rsid w:val="082967ED"/>
    <w:rsid w:val="096205D3"/>
    <w:rsid w:val="0B56757B"/>
    <w:rsid w:val="0ED2579A"/>
    <w:rsid w:val="0F1A11E6"/>
    <w:rsid w:val="10CD77C6"/>
    <w:rsid w:val="121C111E"/>
    <w:rsid w:val="14C00400"/>
    <w:rsid w:val="16454C4B"/>
    <w:rsid w:val="16DA457F"/>
    <w:rsid w:val="18631665"/>
    <w:rsid w:val="1BE2226C"/>
    <w:rsid w:val="1D5A719B"/>
    <w:rsid w:val="20280826"/>
    <w:rsid w:val="202E3BE9"/>
    <w:rsid w:val="20781BFB"/>
    <w:rsid w:val="210943B7"/>
    <w:rsid w:val="235D3917"/>
    <w:rsid w:val="23D102E9"/>
    <w:rsid w:val="242A4F91"/>
    <w:rsid w:val="256002B4"/>
    <w:rsid w:val="25FC664A"/>
    <w:rsid w:val="26C868E1"/>
    <w:rsid w:val="282D3261"/>
    <w:rsid w:val="294E423C"/>
    <w:rsid w:val="2AF87057"/>
    <w:rsid w:val="2B8F2223"/>
    <w:rsid w:val="2D1402D8"/>
    <w:rsid w:val="32843AED"/>
    <w:rsid w:val="37B77BDE"/>
    <w:rsid w:val="399B7E75"/>
    <w:rsid w:val="3C9D64F0"/>
    <w:rsid w:val="3CD960F6"/>
    <w:rsid w:val="3CEA21E5"/>
    <w:rsid w:val="42021F33"/>
    <w:rsid w:val="43946B6E"/>
    <w:rsid w:val="44940089"/>
    <w:rsid w:val="46F8310E"/>
    <w:rsid w:val="48B82169"/>
    <w:rsid w:val="49891460"/>
    <w:rsid w:val="4A8D05CC"/>
    <w:rsid w:val="4E1A6703"/>
    <w:rsid w:val="4F304D62"/>
    <w:rsid w:val="509A04C8"/>
    <w:rsid w:val="511737D9"/>
    <w:rsid w:val="545A4498"/>
    <w:rsid w:val="556D10BA"/>
    <w:rsid w:val="57BE50FB"/>
    <w:rsid w:val="59884304"/>
    <w:rsid w:val="5ACB0A85"/>
    <w:rsid w:val="5B2B1DCF"/>
    <w:rsid w:val="5F4772A6"/>
    <w:rsid w:val="623F40D9"/>
    <w:rsid w:val="62C15963"/>
    <w:rsid w:val="6379684E"/>
    <w:rsid w:val="64661066"/>
    <w:rsid w:val="65491EA9"/>
    <w:rsid w:val="654D71FB"/>
    <w:rsid w:val="66A357A5"/>
    <w:rsid w:val="673C0498"/>
    <w:rsid w:val="686A6131"/>
    <w:rsid w:val="6A515E7E"/>
    <w:rsid w:val="6B444F19"/>
    <w:rsid w:val="6BA41121"/>
    <w:rsid w:val="6CD010B8"/>
    <w:rsid w:val="6CF33B45"/>
    <w:rsid w:val="6DEA6169"/>
    <w:rsid w:val="6EEA2E97"/>
    <w:rsid w:val="6F6F473B"/>
    <w:rsid w:val="7106478C"/>
    <w:rsid w:val="714E08D2"/>
    <w:rsid w:val="71AE2D26"/>
    <w:rsid w:val="732D703E"/>
    <w:rsid w:val="73E11BE3"/>
    <w:rsid w:val="75826128"/>
    <w:rsid w:val="771B2FE0"/>
    <w:rsid w:val="775D2173"/>
    <w:rsid w:val="7770798F"/>
    <w:rsid w:val="7A5C61EB"/>
    <w:rsid w:val="7AEB5B6D"/>
    <w:rsid w:val="7BE47A51"/>
    <w:rsid w:val="7DA46C1B"/>
    <w:rsid w:val="7E10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style>
  <w:style w:type="paragraph" w:styleId="3">
    <w:name w:val="Body Text Indent"/>
    <w:basedOn w:val="1"/>
    <w:semiHidden/>
    <w:unhideWhenUsed/>
    <w:qFormat/>
    <w:uiPriority w:val="99"/>
    <w:pPr>
      <w:spacing w:after="120"/>
      <w:ind w:left="420" w:leftChars="200"/>
    </w:pPr>
  </w:style>
  <w:style w:type="paragraph" w:styleId="4">
    <w:name w:val="Balloon Text"/>
    <w:basedOn w:val="1"/>
    <w:link w:val="17"/>
    <w:semiHidden/>
    <w:unhideWhenUsed/>
    <w:qFormat/>
    <w:uiPriority w:val="99"/>
    <w:pPr>
      <w:spacing w:after="0"/>
    </w:pPr>
    <w:rPr>
      <w:sz w:val="18"/>
      <w:szCs w:val="18"/>
    </w:rPr>
  </w:style>
  <w:style w:type="paragraph" w:styleId="5">
    <w:name w:val="footer"/>
    <w:basedOn w:val="1"/>
    <w:link w:val="13"/>
    <w:unhideWhenUsed/>
    <w:qFormat/>
    <w:uiPriority w:val="0"/>
    <w:pPr>
      <w:tabs>
        <w:tab w:val="center" w:pos="4153"/>
        <w:tab w:val="right" w:pos="8306"/>
      </w:tabs>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6"/>
    <w:qFormat/>
    <w:uiPriority w:val="99"/>
    <w:rPr>
      <w:rFonts w:ascii="Tahoma" w:hAnsi="Tahoma"/>
      <w:sz w:val="18"/>
      <w:szCs w:val="18"/>
    </w:rPr>
  </w:style>
  <w:style w:type="character" w:customStyle="1" w:styleId="13">
    <w:name w:val="页脚 字符"/>
    <w:basedOn w:val="10"/>
    <w:link w:val="5"/>
    <w:semiHidden/>
    <w:qFormat/>
    <w:uiPriority w:val="99"/>
    <w:rPr>
      <w:rFonts w:ascii="Tahoma" w:hAnsi="Tahoma"/>
      <w:sz w:val="18"/>
      <w:szCs w:val="18"/>
    </w:rPr>
  </w:style>
  <w:style w:type="paragraph" w:styleId="14">
    <w:name w:val="List Paragraph"/>
    <w:basedOn w:val="1"/>
    <w:qFormat/>
    <w:uiPriority w:val="34"/>
    <w:pPr>
      <w:ind w:firstLine="420" w:firstLineChars="200"/>
    </w:pPr>
  </w:style>
  <w:style w:type="character" w:customStyle="1" w:styleId="15">
    <w:name w:val="批注文字 字符"/>
    <w:basedOn w:val="10"/>
    <w:link w:val="2"/>
    <w:qFormat/>
    <w:uiPriority w:val="99"/>
    <w:rPr>
      <w:rFonts w:ascii="Tahoma" w:hAnsi="Tahoma"/>
    </w:rPr>
  </w:style>
  <w:style w:type="character" w:customStyle="1" w:styleId="16">
    <w:name w:val="批注主题 字符"/>
    <w:basedOn w:val="15"/>
    <w:link w:val="7"/>
    <w:semiHidden/>
    <w:qFormat/>
    <w:uiPriority w:val="99"/>
    <w:rPr>
      <w:rFonts w:ascii="Tahoma" w:hAnsi="Tahoma"/>
      <w:b/>
      <w:bCs/>
    </w:rPr>
  </w:style>
  <w:style w:type="character" w:customStyle="1" w:styleId="17">
    <w:name w:val="批注框文本 字符"/>
    <w:basedOn w:val="10"/>
    <w:link w:val="4"/>
    <w:semiHidden/>
    <w:qFormat/>
    <w:uiPriority w:val="99"/>
    <w:rPr>
      <w:rFonts w:ascii="Tahoma" w:hAnsi="Tahoma"/>
      <w:sz w:val="18"/>
      <w:szCs w:val="18"/>
    </w:rPr>
  </w:style>
  <w:style w:type="paragraph" w:customStyle="1" w:styleId="18">
    <w:name w:val="p0"/>
    <w:basedOn w:val="1"/>
    <w:qFormat/>
    <w:uiPriority w:val="0"/>
    <w:pPr>
      <w:adjustRightInd/>
      <w:snapToGrid/>
      <w:spacing w:after="0"/>
      <w:jc w:val="both"/>
    </w:pPr>
    <w:rPr>
      <w:rFonts w:ascii="Times New Roman" w:hAnsi="Times New Roman" w:eastAsia="宋体" w:cs="Times New Roman"/>
      <w:sz w:val="21"/>
      <w:szCs w:val="21"/>
    </w:rPr>
  </w:style>
  <w:style w:type="character" w:customStyle="1" w:styleId="19">
    <w:name w:val="fontstyle01"/>
    <w:basedOn w:val="10"/>
    <w:qFormat/>
    <w:uiPriority w:val="0"/>
    <w:rPr>
      <w:rFonts w:hint="eastAsia" w:ascii="宋体" w:hAnsi="宋体" w:eastAsia="宋体"/>
      <w:color w:val="000000"/>
      <w:sz w:val="24"/>
      <w:szCs w:val="24"/>
    </w:rPr>
  </w:style>
  <w:style w:type="character" w:customStyle="1" w:styleId="20">
    <w:name w:val="fontstyle21"/>
    <w:basedOn w:val="10"/>
    <w:qFormat/>
    <w:uiPriority w:val="0"/>
    <w:rPr>
      <w:rFonts w:hint="default" w:ascii="Times New Roman" w:hAnsi="Times New Roman" w:cs="Times New Roman"/>
      <w:color w:val="000000"/>
      <w:sz w:val="24"/>
      <w:szCs w:val="24"/>
    </w:rPr>
  </w:style>
  <w:style w:type="character" w:customStyle="1" w:styleId="21">
    <w:name w:val="fontstyle11"/>
    <w:basedOn w:val="10"/>
    <w:qFormat/>
    <w:uiPriority w:val="0"/>
    <w:rPr>
      <w:rFonts w:hint="eastAsia" w:ascii="宋体" w:hAnsi="宋体" w:eastAsia="宋体"/>
      <w:color w:val="000000"/>
      <w:sz w:val="24"/>
      <w:szCs w:val="24"/>
    </w:rPr>
  </w:style>
  <w:style w:type="character" w:customStyle="1" w:styleId="22">
    <w:name w:val="font31"/>
    <w:basedOn w:val="10"/>
    <w:qFormat/>
    <w:uiPriority w:val="0"/>
    <w:rPr>
      <w:rFonts w:hint="eastAsia" w:ascii="宋体" w:hAnsi="宋体" w:eastAsia="宋体" w:cs="宋体"/>
      <w:b/>
      <w:color w:val="000000"/>
      <w:sz w:val="22"/>
      <w:szCs w:val="22"/>
      <w:u w:val="none"/>
    </w:rPr>
  </w:style>
  <w:style w:type="character" w:customStyle="1" w:styleId="23">
    <w:name w:val="font41"/>
    <w:basedOn w:val="10"/>
    <w:qFormat/>
    <w:uiPriority w:val="0"/>
    <w:rPr>
      <w:rFonts w:hint="eastAsia" w:ascii="宋体" w:hAnsi="宋体" w:eastAsia="宋体" w:cs="宋体"/>
      <w:b/>
      <w:bCs/>
      <w:color w:val="000000"/>
      <w:sz w:val="22"/>
      <w:szCs w:val="22"/>
      <w:u w:val="none"/>
    </w:rPr>
  </w:style>
  <w:style w:type="paragraph" w:customStyle="1" w:styleId="24">
    <w:name w:val="修订1"/>
    <w:hidden/>
    <w:semiHidden/>
    <w:qFormat/>
    <w:uiPriority w:val="99"/>
    <w:rPr>
      <w:rFonts w:ascii="Tahoma" w:hAnsi="Tahoma" w:eastAsia="微软雅黑" w:cstheme="minorBidi"/>
      <w:sz w:val="22"/>
      <w:szCs w:val="22"/>
      <w:lang w:val="en-US" w:eastAsia="zh-CN" w:bidi="ar-SA"/>
    </w:rPr>
  </w:style>
  <w:style w:type="character" w:customStyle="1" w:styleId="25">
    <w:name w:val="font11"/>
    <w:basedOn w:val="10"/>
    <w:qFormat/>
    <w:uiPriority w:val="0"/>
    <w:rPr>
      <w:rFonts w:hint="eastAsia" w:ascii="宋体" w:hAnsi="宋体" w:eastAsia="宋体" w:cs="宋体"/>
      <w:color w:val="000000"/>
      <w:sz w:val="21"/>
      <w:szCs w:val="21"/>
      <w:u w:val="none"/>
    </w:rPr>
  </w:style>
  <w:style w:type="character" w:customStyle="1" w:styleId="26">
    <w:name w:val="font21"/>
    <w:basedOn w:val="10"/>
    <w:qFormat/>
    <w:uiPriority w:val="0"/>
    <w:rPr>
      <w:rFonts w:hint="eastAsia" w:ascii="宋体" w:hAnsi="宋体" w:eastAsia="宋体" w:cs="宋体"/>
      <w:color w:val="000000"/>
      <w:sz w:val="22"/>
      <w:szCs w:val="22"/>
      <w:u w:val="none"/>
    </w:rPr>
  </w:style>
  <w:style w:type="paragraph" w:customStyle="1" w:styleId="27">
    <w:name w:val="修订2"/>
    <w:hidden/>
    <w:unhideWhenUsed/>
    <w:qFormat/>
    <w:uiPriority w:val="99"/>
    <w:rPr>
      <w:rFonts w:ascii="Tahoma" w:hAnsi="Tahoma" w:eastAsia="微软雅黑" w:cstheme="minorBidi"/>
      <w:sz w:val="22"/>
      <w:szCs w:val="22"/>
      <w:lang w:val="en-US" w:eastAsia="zh-CN" w:bidi="ar-SA"/>
    </w:rPr>
  </w:style>
  <w:style w:type="paragraph" w:customStyle="1" w:styleId="28">
    <w:name w:val="修订3"/>
    <w:hidden/>
    <w:unhideWhenUsed/>
    <w:qFormat/>
    <w:uiPriority w:val="99"/>
    <w:rPr>
      <w:rFonts w:ascii="Tahoma" w:hAnsi="Tahoma" w:eastAsia="微软雅黑" w:cstheme="minorBidi"/>
      <w:sz w:val="22"/>
      <w:szCs w:val="22"/>
      <w:lang w:val="en-US" w:eastAsia="zh-CN" w:bidi="ar-SA"/>
    </w:rPr>
  </w:style>
  <w:style w:type="paragraph" w:customStyle="1" w:styleId="29">
    <w:name w:val="Revision"/>
    <w:hidden/>
    <w:unhideWhenUsed/>
    <w:qFormat/>
    <w:uiPriority w:val="99"/>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808</Words>
  <Characters>4611</Characters>
  <Lines>38</Lines>
  <Paragraphs>10</Paragraphs>
  <TotalTime>3</TotalTime>
  <ScaleCrop>false</ScaleCrop>
  <LinksUpToDate>false</LinksUpToDate>
  <CharactersWithSpaces>5409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2017-08-19T06:05:00Z</dcterms:created>
  <dc:creator>Administrator</dc:creator>
  <cp:lastModifiedBy>Mr.翔</cp:lastModifiedBy>
  <dcterms:modified xsi:type="dcterms:W3CDTF">2023-10-18T05:35:12Z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CCDD8A2C9132477C89F0AE07EE2F5E5C</vt:lpwstr>
  </property>
</Properties>
</file>