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56" w:beforeLines="50" w:after="156" w:afterLines="50" w:line="360" w:lineRule="auto"/>
        <w:jc w:val="center"/>
        <w:rPr>
          <w:rFonts w:cs="Times New Roman" w:asciiTheme="minorEastAsia" w:hAnsiTheme="minorEastAsia" w:eastAsiaTheme="minorEastAsia"/>
          <w:sz w:val="24"/>
          <w:szCs w:val="23"/>
        </w:rPr>
      </w:pPr>
      <w:r>
        <w:rPr>
          <w:rFonts w:hint="eastAsia" w:cs="Times New Roman" w:asciiTheme="minorEastAsia" w:hAnsiTheme="minorEastAsia" w:eastAsiaTheme="minorEastAsia"/>
          <w:sz w:val="24"/>
          <w:szCs w:val="23"/>
        </w:rPr>
        <w:t>证券代码：002871           证券简称：伟隆股份     公告编号：2023-11</w:t>
      </w:r>
      <w:r>
        <w:rPr>
          <w:rFonts w:hint="default" w:cs="Times New Roman" w:asciiTheme="minorEastAsia" w:hAnsiTheme="minorEastAsia" w:eastAsiaTheme="minorEastAsia"/>
          <w:sz w:val="24"/>
          <w:szCs w:val="23"/>
          <w:lang w:val="en-US"/>
        </w:rPr>
        <w:t>9</w:t>
      </w:r>
    </w:p>
    <w:p>
      <w:pPr>
        <w:spacing w:before="156" w:beforeLines="50" w:after="156" w:afterLines="50"/>
        <w:jc w:val="cente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青岛伟隆阀门股份有限公司</w:t>
      </w:r>
    </w:p>
    <w:p>
      <w:pPr>
        <w:spacing w:before="156" w:beforeLines="50" w:after="156" w:afterLines="50"/>
        <w:jc w:val="cente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 xml:space="preserve">关于部分限制性股票回购注销完成的公告 </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522" w:type="dxa"/>
            <w:tcBorders>
              <w:top w:val="single" w:color="auto" w:sz="4" w:space="0"/>
              <w:left w:val="single" w:color="auto" w:sz="4" w:space="0"/>
              <w:bottom w:val="single" w:color="auto" w:sz="4" w:space="0"/>
              <w:right w:val="single" w:color="auto" w:sz="4" w:space="0"/>
            </w:tcBorders>
          </w:tcPr>
          <w:p>
            <w:pPr>
              <w:autoSpaceDE w:val="0"/>
              <w:autoSpaceDN w:val="0"/>
              <w:spacing w:before="156" w:beforeLines="50" w:after="156" w:afterLines="50"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本公司及董事会全体成员保证信息披露内容的真实、准确和完整，没有虚假记载、误导性陈述或重大遗漏。</w:t>
            </w:r>
          </w:p>
        </w:tc>
      </w:tr>
    </w:tbl>
    <w:p>
      <w:pPr>
        <w:spacing w:before="156" w:beforeLines="50" w:after="156" w:afterLines="50" w:line="360" w:lineRule="auto"/>
        <w:ind w:firstLine="570"/>
        <w:rPr>
          <w:rFonts w:asciiTheme="minorEastAsia" w:hAnsiTheme="minorEastAsia" w:eastAsiaTheme="minorEastAsia"/>
          <w:b/>
          <w:bCs/>
          <w:sz w:val="24"/>
          <w:szCs w:val="23"/>
        </w:rPr>
      </w:pPr>
      <w:r>
        <w:rPr>
          <w:rFonts w:hint="eastAsia" w:asciiTheme="minorEastAsia" w:hAnsiTheme="minorEastAsia" w:eastAsiaTheme="minorEastAsia"/>
          <w:b/>
          <w:bCs/>
          <w:sz w:val="24"/>
          <w:szCs w:val="23"/>
        </w:rPr>
        <w:t xml:space="preserve"> 特别提示： </w:t>
      </w:r>
    </w:p>
    <w:p>
      <w:pPr>
        <w:spacing w:before="156" w:beforeLines="50" w:after="156" w:afterLines="50" w:line="360" w:lineRule="auto"/>
        <w:ind w:firstLine="570"/>
        <w:jc w:val="both"/>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1、本次回购注销共涉及8人，回购注销的限制性股票数量为</w:t>
      </w:r>
      <w:r>
        <w:rPr>
          <w:rFonts w:hint="eastAsia" w:asciiTheme="minorEastAsia" w:hAnsiTheme="minorEastAsia" w:eastAsiaTheme="minorEastAsia"/>
          <w:sz w:val="24"/>
          <w:szCs w:val="23"/>
        </w:rPr>
        <w:t>171,405</w:t>
      </w:r>
      <w:r>
        <w:rPr>
          <w:rFonts w:hint="eastAsia" w:asciiTheme="minorEastAsia" w:hAnsiTheme="minorEastAsia" w:eastAsiaTheme="minorEastAsia"/>
          <w:sz w:val="24"/>
          <w:szCs w:val="24"/>
        </w:rPr>
        <w:t>股，回购价格为3.35元/股，回购价款共</w:t>
      </w:r>
      <w:r>
        <w:rPr>
          <w:rFonts w:hint="eastAsia" w:ascii="宋体" w:hAnsi="宋体" w:eastAsia="宋体" w:cs="Times New Roman"/>
          <w:sz w:val="24"/>
          <w:szCs w:val="21"/>
          <w:lang w:bidi="en-US"/>
        </w:rPr>
        <w:t>计人民币</w:t>
      </w:r>
      <w:r>
        <w:rPr>
          <w:rFonts w:hint="eastAsia" w:asciiTheme="minorEastAsia" w:hAnsiTheme="minorEastAsia" w:eastAsiaTheme="minorEastAsia"/>
          <w:sz w:val="24"/>
          <w:szCs w:val="23"/>
        </w:rPr>
        <w:t>574,206.75</w:t>
      </w:r>
      <w:r>
        <w:rPr>
          <w:rFonts w:hint="eastAsia" w:ascii="宋体" w:hAnsi="宋体" w:eastAsia="宋体" w:cs="Times New Roman"/>
          <w:sz w:val="24"/>
          <w:szCs w:val="21"/>
          <w:lang w:bidi="en-US"/>
        </w:rPr>
        <w:t>元</w:t>
      </w:r>
      <w:r>
        <w:rPr>
          <w:rFonts w:hint="eastAsia" w:asciiTheme="minorEastAsia" w:hAnsiTheme="minorEastAsia" w:eastAsiaTheme="minorEastAsia"/>
          <w:sz w:val="24"/>
          <w:szCs w:val="24"/>
        </w:rPr>
        <w:t>。</w:t>
      </w:r>
    </w:p>
    <w:p>
      <w:pPr>
        <w:spacing w:before="156" w:beforeLines="50" w:after="156" w:afterLines="50" w:line="360" w:lineRule="auto"/>
        <w:ind w:firstLine="57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2、本次回购注销完成后，公司总股本将由</w:t>
      </w:r>
      <w:r>
        <w:rPr>
          <w:rFonts w:hint="eastAsia" w:ascii="宋体" w:hAnsi="宋体" w:eastAsia="宋体" w:cs="宋体"/>
          <w:color w:val="000000"/>
          <w:sz w:val="24"/>
          <w:szCs w:val="24"/>
          <w:lang w:bidi="ar"/>
        </w:rPr>
        <w:t>219,540,292</w:t>
      </w:r>
      <w:r>
        <w:rPr>
          <w:rFonts w:hint="eastAsia" w:asciiTheme="minorEastAsia" w:hAnsiTheme="minorEastAsia" w:eastAsiaTheme="minorEastAsia"/>
          <w:sz w:val="24"/>
          <w:szCs w:val="23"/>
        </w:rPr>
        <w:t>股</w:t>
      </w:r>
      <w:r>
        <w:rPr>
          <w:rFonts w:hint="eastAsia" w:ascii="宋体" w:hAnsi="宋体" w:eastAsia="宋体" w:cs="Times New Roman"/>
          <w:sz w:val="24"/>
          <w:szCs w:val="21"/>
          <w:lang w:bidi="en-US"/>
        </w:rPr>
        <w:t>变更为</w:t>
      </w:r>
      <w:r>
        <w:rPr>
          <w:rFonts w:hint="eastAsia" w:ascii="宋体" w:hAnsi="宋体" w:eastAsia="宋体" w:cs="宋体"/>
          <w:color w:val="000000"/>
          <w:sz w:val="24"/>
          <w:szCs w:val="24"/>
          <w:lang w:bidi="ar"/>
        </w:rPr>
        <w:t>219,368,887</w:t>
      </w:r>
      <w:r>
        <w:rPr>
          <w:rFonts w:hint="eastAsia" w:ascii="宋体" w:hAnsi="宋体" w:eastAsia="宋体" w:cs="Times New Roman"/>
          <w:sz w:val="24"/>
          <w:szCs w:val="21"/>
          <w:lang w:bidi="en-US"/>
        </w:rPr>
        <w:t>股</w:t>
      </w:r>
      <w:r>
        <w:rPr>
          <w:rFonts w:hint="eastAsia" w:asciiTheme="minorEastAsia" w:hAnsiTheme="minorEastAsia" w:eastAsiaTheme="minorEastAsia"/>
          <w:sz w:val="24"/>
          <w:szCs w:val="24"/>
        </w:rPr>
        <w:t>。</w:t>
      </w:r>
    </w:p>
    <w:p>
      <w:pPr>
        <w:spacing w:before="156" w:beforeLines="50" w:after="156" w:afterLines="50" w:line="360"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3、截止本公告披露日，上述限制性股票已在中国证券登记结算有限责任公司深圳分公司完成回购注销手续。</w:t>
      </w:r>
    </w:p>
    <w:p>
      <w:pPr>
        <w:spacing w:before="156" w:beforeLines="50" w:after="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青岛伟隆阀门股份有限公司（以下称“公司”）第四届董事会第二十六次会议审议通过了《关于回购注销部分限制性股票的议案》。公司2021年限制性股票激励计划首次授予部分的1名激励对象由于离职，不符合解锁条件，其所持有的未解禁部分股票全部由公司回购注销；</w:t>
      </w:r>
      <w:bookmarkStart w:id="0" w:name="_Hlk117256671"/>
      <w:r>
        <w:rPr>
          <w:rFonts w:hint="eastAsia" w:asciiTheme="minorEastAsia" w:hAnsiTheme="minorEastAsia" w:eastAsiaTheme="minorEastAsia"/>
          <w:sz w:val="24"/>
          <w:szCs w:val="23"/>
        </w:rPr>
        <w:t>1名激励对象绩效考核为不合格，不符合解锁条件；2名激励对象绩效考核为合格，可以申请解除当期80%限售股份；1名激励对象绩效考核为良好，可以申请解除当期90%限售股份</w:t>
      </w:r>
      <w:bookmarkEnd w:id="0"/>
      <w:r>
        <w:rPr>
          <w:rFonts w:hint="eastAsia" w:asciiTheme="minorEastAsia" w:hAnsiTheme="minorEastAsia" w:eastAsiaTheme="minorEastAsia"/>
          <w:sz w:val="24"/>
          <w:szCs w:val="23"/>
        </w:rPr>
        <w:t>；</w:t>
      </w:r>
      <w:bookmarkStart w:id="1" w:name="_Hlk147838123"/>
      <w:r>
        <w:rPr>
          <w:rFonts w:hint="eastAsia" w:asciiTheme="minorEastAsia" w:hAnsiTheme="minorEastAsia" w:eastAsiaTheme="minorEastAsia"/>
          <w:sz w:val="24"/>
          <w:szCs w:val="23"/>
        </w:rPr>
        <w:t>前述4名激励对象其所持有的本期未解禁部分股票全部由公司回购注销</w:t>
      </w:r>
      <w:bookmarkEnd w:id="1"/>
      <w:r>
        <w:rPr>
          <w:rFonts w:hint="eastAsia" w:asciiTheme="minorEastAsia" w:hAnsiTheme="minorEastAsia" w:eastAsiaTheme="minorEastAsia"/>
          <w:sz w:val="24"/>
          <w:szCs w:val="23"/>
        </w:rPr>
        <w:t>。2021年限制性股票激励计划激励预留部分的激励对象3名人员因个人原因离职，不符合解锁条件，其所持有的未解禁部分股票全部由公司回购注销。根据公司《20</w:t>
      </w:r>
      <w:r>
        <w:rPr>
          <w:rFonts w:asciiTheme="minorEastAsia" w:hAnsiTheme="minorEastAsia" w:eastAsiaTheme="minorEastAsia"/>
          <w:sz w:val="24"/>
          <w:szCs w:val="23"/>
        </w:rPr>
        <w:t>21</w:t>
      </w:r>
      <w:r>
        <w:rPr>
          <w:rFonts w:hint="eastAsia" w:asciiTheme="minorEastAsia" w:hAnsiTheme="minorEastAsia" w:eastAsiaTheme="minorEastAsia"/>
          <w:sz w:val="24"/>
          <w:szCs w:val="23"/>
        </w:rPr>
        <w:t>年限制性股票激励计划（草案修订稿）》（以下简称“激励计划”）的规定，公司董事会决定对激励对象已获授但尚未解锁的171,405股限制性股票进行回购注销。现就有关事项公告如下：</w:t>
      </w:r>
    </w:p>
    <w:p>
      <w:pPr>
        <w:spacing w:before="156" w:beforeLines="50" w:after="156"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一、限制性股票激励计划实施简介</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1、2021年9月28日，公司分别召开了第四届董事会第五次会议和第四届监事会第四次会议，审议通过了《关于&lt;公司2021年限制性股票激励计划（草案）及其摘要&gt;的议案》《关于&lt;公司2021年限制性股票激励计划实施考核管理办法&gt;的议案》以及《关于提请股东大会授权董事会办理公司2021年限制性股票激励计划有关事项的议案》。公司独立董事对此发表了独立意见。</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2、2021年9月28日至2021年10月8日，公司对2021年限制性股票激励计划授予激励对象名单进行了内部公示。公示期内，公司监事会未收到与激励计划拟激励对象有关的任何异议；公示期满，监事会对2021年限制性股票激励计划授予部分激励对象名单进行了核查并对公示情况进行了说明，于2021年10月9日公告了《监事会关于2021年限制性股票激励计划授予部分激励对象名单的审核及公示情况说明》。</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3、2021年10月14日，公司召开2021年第二次临时股东大会，审议通过了《关于&lt;公司2021年限制性股票激励计划（草案）及其摘要&gt;的议案》《关于&lt;公司2021年限制性股票激励计划实施考核管理办法&gt;的议案》以及《关于提请股东大会授权董事会办理公司2021年限制性股票激励计划有关事项的议案》。公司独立董事向全体股东公开征集了委托投票权。</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4、2021年10月27日，公司分别召开第四届董事会第六次会议和第四届监事会第五次会议审议通过了《关于调整公司2021年限制性股票激励计划相关事项的议案》《关于向激励对象授予限制性股票的议案》，董事会认为激励计划规定的授予条件已经成就，同意以2021年10月28日为授予日，向符合条件的80名激励对象授予272万股限制性股票，授予价格为5.00元/股。公司独立董事对此发表了独立意见。</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5、2022年09月08日，公司分别召开第四届董事会第十四次会议和第四届监事会第十二次会议，审议通过了《关于调整2021年限制性股票激励计划预留部分授予价格的议案》《关于向2021年限制性股票激励计划激励对象授予预留部分限制性股票的议案》，同意公司2021年限制性股票激励计划预留部分限制性股票授予价格由5.00元/股调整为4.65元/股。董事会认为激励计划规定的预留部分授予条件已经成就，同意以2022年09月08日为授予日，向符合条件的27名激励对象授予42.7626万股限制性股票。公司独立董事对此发表了独立意见。</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6、2022年10月27日，公司分别召开了第四届董事会第十五次会议和第四届监事会第十三次会议，审议通过了《关于2021年限制性股票激励计划第一个解锁期解锁条件成就的议案》《关于调整限制性股票回购价格的议案》《关于回购注销部分限制性股票的议案》等议案，认为本次股权激励计划第一次解除限售和回购注销已不符合激励条件的激励对象以及部分激励对象未全部解锁的已获授但尚未解除限售的限制性股票符合《上市公司股权激励管理办法》等法律、法规和规范性文件及《激励计划》的规定，同意第一次解除限售和回购注销已不符合激励条件的激励对象以及部分激励对象未全部解锁的已获授但尚未解除限售的限制性股票事项。公司独立董事对此发表了独立意见。</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7、2023年8月29日，公司分别召开了第四届董事会第二十五次会议和第四届监事会第十九次会议，审议通过了《关于2021年限制性股票激励计划预留部分第一个解锁期解锁条件成就的议案》《关于调整2021年限制性股票激励计划回购数量及价格的议案》等议案，认为2021年限制性股票激励计划预留部分第一个解锁期解锁条件已成就，同时因2022年权益分配事项，同意调整2021年限制性股票激励计划回购数量及价格。公司独立董事对此发表了独立意见。</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8、2023年10月1</w:t>
      </w:r>
      <w:r>
        <w:rPr>
          <w:rFonts w:asciiTheme="minorEastAsia" w:hAnsiTheme="minorEastAsia" w:eastAsiaTheme="minorEastAsia"/>
          <w:sz w:val="24"/>
          <w:szCs w:val="23"/>
        </w:rPr>
        <w:t>8</w:t>
      </w:r>
      <w:r>
        <w:rPr>
          <w:rFonts w:hint="eastAsia" w:asciiTheme="minorEastAsia" w:hAnsiTheme="minorEastAsia" w:eastAsiaTheme="minorEastAsia"/>
          <w:sz w:val="24"/>
          <w:szCs w:val="23"/>
        </w:rPr>
        <w:t>日，公司分别召开了第四届董事会第二十六次会议和第四届监事会第二十次会议，审议通过了《关于2021年限制性股票激励计划首次授予部分第二个解锁期解锁条件成就的议案》《关于回购注销部分限制性股票的议案》等议案，认为2021年限制性股票激励计划首次授予部分第二个解锁期解除限售和回购注销已不符合激励条件的激励对象已获授但尚未解除限售的限制性股票符合《上市公司股权激励管理办法》等法律、法规和规范性文件及《激励计划》的规定，同意首次授予部分第二次解除限售和回购注销已不符合激励条件的激励对象已获授但尚未解除限售的限制性股票事项。公司独立董事对此发表了独立意见。</w:t>
      </w:r>
    </w:p>
    <w:p>
      <w:pPr>
        <w:pStyle w:val="12"/>
        <w:spacing w:before="156" w:beforeLines="50" w:after="156" w:afterLines="50" w:line="360" w:lineRule="auto"/>
        <w:ind w:firstLine="480" w:firstLineChars="200"/>
        <w:rPr>
          <w:rFonts w:ascii="宋体" w:hAnsi="宋体"/>
          <w:sz w:val="24"/>
          <w:lang w:bidi="en-US"/>
        </w:rPr>
      </w:pPr>
      <w:r>
        <w:rPr>
          <w:rFonts w:hint="eastAsia" w:ascii="宋体" w:hAnsi="宋体"/>
          <w:sz w:val="24"/>
          <w:lang w:bidi="en-US"/>
        </w:rPr>
        <w:t>9、</w:t>
      </w:r>
      <w:r>
        <w:rPr>
          <w:rFonts w:hint="eastAsia" w:asciiTheme="minorEastAsia" w:hAnsiTheme="minorEastAsia" w:eastAsiaTheme="minorEastAsia"/>
          <w:sz w:val="24"/>
          <w:szCs w:val="23"/>
        </w:rPr>
        <w:t>2023年11月03日</w:t>
      </w:r>
      <w:r>
        <w:rPr>
          <w:rFonts w:hint="eastAsia" w:ascii="宋体" w:hAnsi="宋体"/>
          <w:sz w:val="23"/>
        </w:rPr>
        <w:t>，公司召开了</w:t>
      </w:r>
      <w:r>
        <w:rPr>
          <w:rFonts w:hint="eastAsia" w:asciiTheme="minorEastAsia" w:hAnsiTheme="minorEastAsia" w:eastAsiaTheme="minorEastAsia"/>
          <w:sz w:val="24"/>
          <w:szCs w:val="23"/>
        </w:rPr>
        <w:t>2023年第三次临时股东大会</w:t>
      </w:r>
      <w:r>
        <w:rPr>
          <w:rFonts w:hint="eastAsia" w:ascii="宋体" w:hAnsi="宋体"/>
          <w:sz w:val="23"/>
        </w:rPr>
        <w:t>，审议通过了《</w:t>
      </w:r>
      <w:r>
        <w:rPr>
          <w:rFonts w:hint="eastAsia" w:ascii="宋体" w:hAnsi="宋体"/>
          <w:sz w:val="24"/>
          <w:lang w:bidi="en-US"/>
        </w:rPr>
        <w:t>关于回购注销部分限制性股票的议案</w:t>
      </w:r>
      <w:r>
        <w:rPr>
          <w:rFonts w:hint="eastAsia" w:ascii="宋体" w:hAnsi="宋体"/>
          <w:sz w:val="23"/>
        </w:rPr>
        <w:t>》。</w:t>
      </w:r>
    </w:p>
    <w:p>
      <w:pPr>
        <w:spacing w:before="156" w:beforeLines="50" w:after="156"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二、本次回购注销部分限制性股票的原因 </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公司4名激励对象因个人原因离职，</w:t>
      </w:r>
      <w:bookmarkStart w:id="2" w:name="_Hlk117256729"/>
      <w:r>
        <w:rPr>
          <w:rFonts w:hint="eastAsia" w:ascii="宋体" w:hAnsi="宋体" w:eastAsia="宋体" w:cs="Times New Roman"/>
          <w:sz w:val="24"/>
          <w:szCs w:val="21"/>
          <w:lang w:bidi="en-US"/>
        </w:rPr>
        <w:t>其所持有的未解禁部分股票全部回购；1名激励对象绩效考核为不合格，不符合解锁条件；2名激励对象绩效考核为合格，可以申请解除当期80%限售股份；1名激励对象绩效考核为良好，可以申请解除当期90%限售股份，前述4名激励对象其所持有的本期未解禁部分股票全部回购</w:t>
      </w:r>
      <w:bookmarkEnd w:id="2"/>
      <w:r>
        <w:rPr>
          <w:rFonts w:hint="eastAsia" w:ascii="宋体" w:hAnsi="宋体" w:eastAsia="宋体" w:cs="Times New Roman"/>
          <w:sz w:val="24"/>
          <w:szCs w:val="21"/>
          <w:lang w:bidi="en-US"/>
        </w:rPr>
        <w:t>；根据《激励计划》规定，公司应将其持有的已获授但尚未解除限售的限制性股票回购注销。</w:t>
      </w:r>
    </w:p>
    <w:p>
      <w:pPr>
        <w:numPr>
          <w:ilvl w:val="0"/>
          <w:numId w:val="1"/>
        </w:numPr>
        <w:spacing w:before="156" w:beforeLines="50" w:after="156"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回购价格  </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根据</w:t>
      </w:r>
      <w:r>
        <w:rPr>
          <w:rFonts w:hint="eastAsia" w:asciiTheme="minorEastAsia" w:hAnsiTheme="minorEastAsia" w:eastAsiaTheme="minorEastAsia"/>
          <w:sz w:val="24"/>
          <w:szCs w:val="23"/>
        </w:rPr>
        <w:t>《激励计划》</w:t>
      </w:r>
      <w:r>
        <w:rPr>
          <w:rFonts w:hint="eastAsia" w:ascii="宋体" w:hAnsi="宋体" w:eastAsia="宋体" w:cs="Times New Roman"/>
          <w:sz w:val="24"/>
          <w:szCs w:val="21"/>
          <w:lang w:bidi="en-US"/>
        </w:rPr>
        <w:t>规定，激励对象获授的限制性股票完成股份登记后，若公司发生资本公积转增股本、派送股票红利、股份拆细、配股或缩股、派息等影响公司股本总额或公司股票价格事项的，公司应对尚未解除限售的限制性股票的回购数量和回购价格做相应的调整。具体调整方法如下：</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回购价格的调整方法</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在公司发生资本公积转增股本、派送股票红利、股票拆细时，按照以下方法调整回购价格：P＝P0÷(1＋n)</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其中：</w:t>
      </w:r>
      <w:r>
        <w:rPr>
          <w:rFonts w:ascii="宋体" w:hAnsi="宋体" w:eastAsia="宋体" w:cs="Times New Roman"/>
          <w:sz w:val="24"/>
          <w:szCs w:val="21"/>
          <w:lang w:bidi="en-US"/>
        </w:rPr>
        <w:t>P</w:t>
      </w:r>
      <w:r>
        <w:rPr>
          <w:rFonts w:hint="eastAsia" w:ascii="宋体" w:hAnsi="宋体" w:eastAsia="宋体" w:cs="Times New Roman"/>
          <w:sz w:val="24"/>
          <w:szCs w:val="21"/>
          <w:lang w:bidi="en-US"/>
        </w:rPr>
        <w:t>为调整后的每股限制性股票回购价格，</w:t>
      </w:r>
      <w:r>
        <w:rPr>
          <w:rFonts w:ascii="宋体" w:hAnsi="宋体" w:eastAsia="宋体" w:cs="Times New Roman"/>
          <w:sz w:val="24"/>
          <w:szCs w:val="21"/>
          <w:lang w:bidi="en-US"/>
        </w:rPr>
        <w:t>P0</w:t>
      </w:r>
      <w:r>
        <w:rPr>
          <w:rFonts w:hint="eastAsia" w:ascii="宋体" w:hAnsi="宋体" w:eastAsia="宋体" w:cs="Times New Roman"/>
          <w:sz w:val="24"/>
          <w:szCs w:val="21"/>
          <w:lang w:bidi="en-US"/>
        </w:rPr>
        <w:t>为每股限制性股票授予价格；</w:t>
      </w:r>
      <w:r>
        <w:rPr>
          <w:rFonts w:ascii="宋体" w:hAnsi="宋体" w:eastAsia="宋体" w:cs="Times New Roman"/>
          <w:sz w:val="24"/>
          <w:szCs w:val="21"/>
          <w:lang w:bidi="en-US"/>
        </w:rPr>
        <w:t>n</w:t>
      </w:r>
      <w:r>
        <w:rPr>
          <w:rFonts w:hint="eastAsia" w:ascii="宋体" w:hAnsi="宋体" w:eastAsia="宋体" w:cs="Times New Roman"/>
          <w:sz w:val="24"/>
          <w:szCs w:val="21"/>
          <w:lang w:bidi="en-US"/>
        </w:rPr>
        <w:t>为每股公积金转增股本、派送股票红利、股票拆细的比率（即每股股票经转增、送股或股票拆细后增加的股票数量）。</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在公司发生派息时，按如下方法调整回购价格：P＝P0-V</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其中：P0为调整前的每股限制性股票回购价格；V为每股的派息额；P为调整后的每股限制性股票回购价格。经派息调整后，P仍须大于1。</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20</w:t>
      </w:r>
      <w:r>
        <w:rPr>
          <w:rFonts w:ascii="宋体" w:hAnsi="宋体" w:eastAsia="宋体" w:cs="Times New Roman"/>
          <w:sz w:val="24"/>
          <w:szCs w:val="21"/>
          <w:lang w:bidi="en-US"/>
        </w:rPr>
        <w:t>2</w:t>
      </w:r>
      <w:r>
        <w:rPr>
          <w:rFonts w:hint="eastAsia" w:ascii="宋体" w:hAnsi="宋体" w:eastAsia="宋体" w:cs="Times New Roman"/>
          <w:sz w:val="24"/>
          <w:szCs w:val="21"/>
          <w:lang w:bidi="en-US"/>
        </w:rPr>
        <w:t>2年度权益分派情况：</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公司于2023年4月20日公告了《2022年度分红派息、转增股本实施公告》，分配方案为：以公司现有总股本168,877,148.00股为基数，向全体股东每10股派3.000000元人民币现金，同时，以资本公积金向全体股东每10股转增3.000000股。上述分红派息已经于2023年4月28日实施完毕。</w:t>
      </w:r>
    </w:p>
    <w:p>
      <w:pPr>
        <w:spacing w:before="156" w:beforeLines="50" w:after="156" w:afterLines="50" w:line="360" w:lineRule="auto"/>
        <w:ind w:firstLine="480" w:firstLineChars="200"/>
        <w:jc w:val="both"/>
        <w:rPr>
          <w:rFonts w:ascii="宋体" w:hAnsi="宋体" w:eastAsia="宋体" w:cs="宋体"/>
          <w:color w:val="000000"/>
          <w:sz w:val="24"/>
        </w:rPr>
      </w:pPr>
      <w:r>
        <w:rPr>
          <w:rFonts w:hint="eastAsia" w:ascii="宋体" w:hAnsi="宋体" w:eastAsia="宋体" w:cs="宋体"/>
          <w:color w:val="000000"/>
          <w:sz w:val="24"/>
        </w:rPr>
        <w:t>基于上述分红派息、转增股本方案的实施情况，对公司首次授予及预留授予的限制性股票回购价格调整如下：</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调整后的回购价格=（4</w:t>
      </w:r>
      <w:r>
        <w:rPr>
          <w:rFonts w:ascii="宋体" w:hAnsi="宋体" w:eastAsia="宋体" w:cs="Times New Roman"/>
          <w:sz w:val="24"/>
          <w:szCs w:val="21"/>
          <w:lang w:bidi="en-US"/>
        </w:rPr>
        <w:t>.65</w:t>
      </w:r>
      <w:r>
        <w:rPr>
          <w:rFonts w:hint="eastAsia" w:ascii="宋体" w:hAnsi="宋体" w:eastAsia="宋体" w:cs="Times New Roman"/>
          <w:sz w:val="24"/>
          <w:szCs w:val="21"/>
          <w:lang w:bidi="en-US"/>
        </w:rPr>
        <w:t>-</w:t>
      </w:r>
      <w:r>
        <w:rPr>
          <w:rFonts w:ascii="宋体" w:hAnsi="宋体" w:eastAsia="宋体" w:cs="Times New Roman"/>
          <w:sz w:val="24"/>
          <w:szCs w:val="21"/>
          <w:lang w:bidi="en-US"/>
        </w:rPr>
        <w:t>0.3</w:t>
      </w:r>
      <w:r>
        <w:rPr>
          <w:rFonts w:hint="eastAsia" w:ascii="宋体" w:hAnsi="宋体" w:eastAsia="宋体" w:cs="Times New Roman"/>
          <w:sz w:val="24"/>
          <w:szCs w:val="21"/>
          <w:lang w:bidi="en-US"/>
        </w:rPr>
        <w:t>）÷（1+</w:t>
      </w:r>
      <w:r>
        <w:rPr>
          <w:rFonts w:ascii="宋体" w:hAnsi="宋体" w:eastAsia="宋体" w:cs="Times New Roman"/>
          <w:sz w:val="24"/>
          <w:szCs w:val="21"/>
          <w:lang w:bidi="en-US"/>
        </w:rPr>
        <w:t>0.3</w:t>
      </w:r>
      <w:r>
        <w:rPr>
          <w:rFonts w:hint="eastAsia" w:ascii="宋体" w:hAnsi="宋体" w:eastAsia="宋体" w:cs="Times New Roman"/>
          <w:sz w:val="24"/>
          <w:szCs w:val="21"/>
          <w:lang w:bidi="en-US"/>
        </w:rPr>
        <w:t>）=</w:t>
      </w:r>
      <w:r>
        <w:rPr>
          <w:rFonts w:ascii="宋体" w:hAnsi="宋体" w:eastAsia="宋体" w:cs="Times New Roman"/>
          <w:sz w:val="24"/>
          <w:szCs w:val="21"/>
          <w:lang w:bidi="en-US"/>
        </w:rPr>
        <w:t>3.35</w:t>
      </w:r>
      <w:r>
        <w:rPr>
          <w:rFonts w:hint="eastAsia" w:ascii="宋体" w:hAnsi="宋体" w:eastAsia="宋体" w:cs="Times New Roman"/>
          <w:sz w:val="24"/>
          <w:szCs w:val="21"/>
          <w:lang w:bidi="en-US"/>
        </w:rPr>
        <w:t>元/股。</w:t>
      </w:r>
    </w:p>
    <w:p>
      <w:pPr>
        <w:spacing w:before="156" w:beforeLines="50" w:after="156"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2023年8月29日，公司分别召开了第四届董事会第二十五次会议和第四届监事会第十九次会议，审议通过了《关于调整2021年限制性股票激励计划回购数量及价格的议案》，因2022年权益分配事项，同意调整2021年限制性股票激励计划回购价格为3.35元/股。</w:t>
      </w:r>
    </w:p>
    <w:p>
      <w:pPr>
        <w:numPr>
          <w:ilvl w:val="0"/>
          <w:numId w:val="1"/>
        </w:numPr>
        <w:spacing w:before="156" w:beforeLines="50" w:after="156"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本次回购注销股份的种类、数量及占本次股权激励计划涉及的标的股票的比例、占总股本的比例</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根据《激励计划》的规定，本次回购注销的股份种类为人民币普通股，回购注销的股票数量为</w:t>
      </w:r>
      <w:r>
        <w:rPr>
          <w:rFonts w:ascii="宋体" w:hAnsi="宋体" w:eastAsia="宋体" w:cs="Times New Roman"/>
          <w:sz w:val="24"/>
          <w:szCs w:val="21"/>
          <w:lang w:bidi="en-US"/>
        </w:rPr>
        <w:t>171,405</w:t>
      </w:r>
      <w:r>
        <w:rPr>
          <w:rFonts w:hint="eastAsia" w:ascii="宋体" w:hAnsi="宋体" w:eastAsia="宋体" w:cs="Times New Roman"/>
          <w:sz w:val="24"/>
          <w:szCs w:val="21"/>
          <w:lang w:bidi="en-US"/>
        </w:rPr>
        <w:t>股，占本次股权激励计划合计授予的限制性股票比例为</w:t>
      </w:r>
      <w:r>
        <w:rPr>
          <w:rFonts w:ascii="宋体" w:hAnsi="宋体" w:eastAsia="宋体" w:cs="Times New Roman"/>
          <w:sz w:val="24"/>
          <w:szCs w:val="21"/>
          <w:lang w:bidi="en-US"/>
        </w:rPr>
        <w:t>4.3912%，占回购注销前总股本比例为</w:t>
      </w:r>
      <w:r>
        <w:rPr>
          <w:rFonts w:hint="eastAsia" w:ascii="宋体" w:hAnsi="宋体" w:eastAsia="宋体" w:cs="Times New Roman"/>
          <w:sz w:val="24"/>
          <w:szCs w:val="21"/>
          <w:lang w:bidi="en-US"/>
        </w:rPr>
        <w:t>0.0</w:t>
      </w:r>
      <w:r>
        <w:rPr>
          <w:rFonts w:ascii="宋体" w:hAnsi="宋体" w:eastAsia="宋体" w:cs="Times New Roman"/>
          <w:sz w:val="24"/>
          <w:szCs w:val="21"/>
          <w:lang w:bidi="en-US"/>
        </w:rPr>
        <w:t>781%</w:t>
      </w:r>
      <w:r>
        <w:rPr>
          <w:rFonts w:hint="eastAsia" w:ascii="宋体" w:hAnsi="宋体" w:eastAsia="宋体" w:cs="Times New Roman"/>
          <w:sz w:val="24"/>
          <w:szCs w:val="21"/>
          <w:lang w:bidi="en-US"/>
        </w:rPr>
        <w:t>。</w:t>
      </w:r>
    </w:p>
    <w:p>
      <w:pPr>
        <w:numPr>
          <w:ilvl w:val="0"/>
          <w:numId w:val="1"/>
        </w:numPr>
        <w:spacing w:before="156" w:beforeLines="50" w:after="156"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本次回购的资金来源 </w:t>
      </w:r>
    </w:p>
    <w:p>
      <w:pPr>
        <w:spacing w:before="156" w:beforeLines="50" w:after="156" w:afterLines="50" w:line="360" w:lineRule="auto"/>
        <w:ind w:firstLine="480" w:firstLineChars="200"/>
        <w:rPr>
          <w:rFonts w:ascii="宋体" w:hAnsi="宋体" w:eastAsia="宋体" w:cs="Times New Roman"/>
          <w:sz w:val="24"/>
          <w:szCs w:val="21"/>
          <w:lang w:bidi="en-US"/>
        </w:rPr>
      </w:pPr>
      <w:r>
        <w:rPr>
          <w:rFonts w:hint="eastAsia" w:ascii="宋体" w:hAnsi="宋体" w:eastAsia="宋体" w:cs="Times New Roman"/>
          <w:sz w:val="24"/>
          <w:szCs w:val="21"/>
          <w:lang w:bidi="en-US"/>
        </w:rPr>
        <w:t>公司就本次限制性股票回购向已离职及已不符合激励条件的激励对象支付</w:t>
      </w:r>
      <w:r>
        <w:rPr>
          <w:rFonts w:hint="eastAsia" w:asciiTheme="minorEastAsia" w:hAnsiTheme="minorEastAsia" w:eastAsiaTheme="minorEastAsia"/>
          <w:sz w:val="24"/>
          <w:szCs w:val="24"/>
        </w:rPr>
        <w:t>回购价款共</w:t>
      </w:r>
      <w:r>
        <w:rPr>
          <w:rFonts w:hint="eastAsia" w:ascii="宋体" w:hAnsi="宋体" w:eastAsia="宋体" w:cs="Times New Roman"/>
          <w:sz w:val="24"/>
          <w:szCs w:val="21"/>
          <w:lang w:bidi="en-US"/>
        </w:rPr>
        <w:t>计人民币</w:t>
      </w:r>
      <w:r>
        <w:rPr>
          <w:rFonts w:hint="eastAsia" w:asciiTheme="minorEastAsia" w:hAnsiTheme="minorEastAsia" w:eastAsiaTheme="minorEastAsia"/>
          <w:sz w:val="24"/>
          <w:szCs w:val="23"/>
        </w:rPr>
        <w:t>574,206.75</w:t>
      </w:r>
      <w:r>
        <w:rPr>
          <w:rFonts w:hint="eastAsia" w:ascii="宋体" w:hAnsi="宋体" w:eastAsia="宋体" w:cs="Times New Roman"/>
          <w:sz w:val="24"/>
          <w:szCs w:val="21"/>
          <w:lang w:bidi="en-US"/>
        </w:rPr>
        <w:t xml:space="preserve">元，资金来源为公司自有资金。 </w:t>
      </w:r>
    </w:p>
    <w:p>
      <w:pPr>
        <w:numPr>
          <w:ilvl w:val="0"/>
          <w:numId w:val="1"/>
        </w:numPr>
        <w:spacing w:before="156" w:beforeLines="50" w:after="156"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验资情况 </w:t>
      </w:r>
    </w:p>
    <w:p>
      <w:pPr>
        <w:spacing w:before="156" w:beforeLines="50" w:after="156" w:afterLines="50" w:line="360" w:lineRule="auto"/>
        <w:ind w:firstLine="480" w:firstLineChars="200"/>
        <w:rPr>
          <w:rFonts w:ascii="宋体" w:hAnsi="宋体" w:eastAsia="宋体" w:cs="Times New Roman"/>
          <w:sz w:val="24"/>
          <w:szCs w:val="21"/>
          <w:lang w:bidi="en-US"/>
        </w:rPr>
      </w:pPr>
      <w:r>
        <w:rPr>
          <w:rFonts w:hint="eastAsia" w:ascii="宋体" w:hAnsi="宋体" w:eastAsia="宋体" w:cs="Times New Roman"/>
          <w:sz w:val="24"/>
          <w:szCs w:val="21"/>
          <w:lang w:bidi="en-US"/>
        </w:rPr>
        <w:t xml:space="preserve">和信会计师事务所（特殊普通合伙）对公司本次回购注销导致公司注册资本减少的事项出具了《验资报告》（和信验字【2023】000051号）。本次回购注销完成后，公司股份总数由219,540,292股变为219,368,887股。 </w:t>
      </w:r>
    </w:p>
    <w:p>
      <w:pPr>
        <w:numPr>
          <w:ilvl w:val="0"/>
          <w:numId w:val="1"/>
        </w:numPr>
        <w:spacing w:before="156" w:beforeLines="50" w:after="156"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回购注销的完成情况 </w:t>
      </w:r>
    </w:p>
    <w:p>
      <w:pPr>
        <w:spacing w:before="156" w:beforeLines="50" w:after="156" w:afterLines="50" w:line="360" w:lineRule="auto"/>
        <w:ind w:firstLine="480" w:firstLineChars="200"/>
        <w:rPr>
          <w:rFonts w:ascii="宋体" w:hAnsi="宋体" w:eastAsia="宋体" w:cs="Times New Roman"/>
          <w:sz w:val="24"/>
          <w:szCs w:val="21"/>
          <w:lang w:bidi="en-US"/>
        </w:rPr>
      </w:pPr>
      <w:r>
        <w:rPr>
          <w:rFonts w:hint="eastAsia" w:ascii="宋体" w:hAnsi="宋体" w:eastAsia="宋体" w:cs="Times New Roman"/>
          <w:sz w:val="24"/>
          <w:szCs w:val="21"/>
          <w:lang w:bidi="en-US"/>
        </w:rPr>
        <w:t>截至目前，公司已在中国证券登记结算有限责任公司深圳分公司办理完成上述限制性股票回购注销手续。</w:t>
      </w:r>
    </w:p>
    <w:p>
      <w:pPr>
        <w:numPr>
          <w:ilvl w:val="0"/>
          <w:numId w:val="1"/>
        </w:numPr>
        <w:spacing w:before="156" w:beforeLines="50" w:after="156" w:afterLines="50" w:line="360" w:lineRule="auto"/>
        <w:ind w:firstLine="57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回购注销前后股本结构变动情况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520"/>
        <w:gridCol w:w="1083"/>
        <w:gridCol w:w="1123"/>
        <w:gridCol w:w="152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3" w:type="dxa"/>
            <w:vMerge w:val="restart"/>
            <w:shd w:val="clear" w:color="auto" w:fill="D8D8D8" w:themeFill="background1" w:themeFillShade="D9"/>
            <w:vAlign w:val="center"/>
          </w:tcPr>
          <w:p>
            <w:pPr>
              <w:jc w:val="center"/>
              <w:textAlignment w:val="center"/>
              <w:rPr>
                <w:rFonts w:ascii="宋体" w:hAnsi="宋体"/>
                <w:b/>
                <w:lang w:bidi="en-US"/>
              </w:rPr>
            </w:pPr>
            <w:r>
              <w:rPr>
                <w:rFonts w:hint="eastAsia" w:ascii="宋体" w:hAnsi="宋体" w:eastAsia="宋体" w:cs="宋体"/>
                <w:b/>
                <w:bCs/>
                <w:sz w:val="21"/>
                <w:szCs w:val="21"/>
              </w:rPr>
              <w:t>股份性质</w:t>
            </w:r>
          </w:p>
        </w:tc>
        <w:tc>
          <w:tcPr>
            <w:tcW w:w="2530" w:type="dxa"/>
            <w:gridSpan w:val="2"/>
            <w:shd w:val="clear" w:color="auto" w:fill="D8D8D8" w:themeFill="background1" w:themeFillShade="D9"/>
            <w:vAlign w:val="center"/>
          </w:tcPr>
          <w:p>
            <w:pPr>
              <w:jc w:val="center"/>
              <w:textAlignment w:val="center"/>
              <w:rPr>
                <w:rFonts w:ascii="宋体" w:hAnsi="宋体"/>
                <w:b/>
                <w:lang w:bidi="en-US"/>
              </w:rPr>
            </w:pPr>
            <w:r>
              <w:rPr>
                <w:rFonts w:hint="eastAsia" w:ascii="宋体" w:hAnsi="宋体" w:eastAsia="宋体" w:cs="宋体"/>
                <w:b/>
                <w:bCs/>
                <w:sz w:val="21"/>
                <w:szCs w:val="21"/>
              </w:rPr>
              <w:t>本次回购注销前</w:t>
            </w:r>
          </w:p>
        </w:tc>
        <w:tc>
          <w:tcPr>
            <w:tcW w:w="1124" w:type="dxa"/>
            <w:vMerge w:val="restart"/>
            <w:shd w:val="clear" w:color="auto" w:fill="D8D8D8" w:themeFill="background1" w:themeFillShade="D9"/>
            <w:vAlign w:val="center"/>
          </w:tcPr>
          <w:p>
            <w:pPr>
              <w:jc w:val="center"/>
              <w:textAlignment w:val="center"/>
              <w:rPr>
                <w:rFonts w:ascii="宋体" w:hAnsi="宋体"/>
                <w:b/>
                <w:lang w:bidi="en-US"/>
              </w:rPr>
            </w:pPr>
            <w:r>
              <w:rPr>
                <w:rFonts w:hint="eastAsia" w:ascii="宋体" w:hAnsi="宋体" w:eastAsia="宋体" w:cs="宋体"/>
                <w:b/>
                <w:bCs/>
                <w:sz w:val="21"/>
                <w:szCs w:val="21"/>
              </w:rPr>
              <w:t>变动数（</w:t>
            </w:r>
            <w:r>
              <w:rPr>
                <w:rFonts w:hint="eastAsia" w:ascii="宋体" w:hAnsi="宋体" w:eastAsia="宋体" w:cs="宋体"/>
                <w:b/>
                <w:bCs/>
              </w:rPr>
              <w:t>+、-）</w:t>
            </w:r>
          </w:p>
        </w:tc>
        <w:tc>
          <w:tcPr>
            <w:tcW w:w="2645" w:type="dxa"/>
            <w:gridSpan w:val="2"/>
            <w:shd w:val="clear" w:color="auto" w:fill="D8D8D8" w:themeFill="background1" w:themeFillShade="D9"/>
            <w:vAlign w:val="center"/>
          </w:tcPr>
          <w:p>
            <w:pPr>
              <w:jc w:val="center"/>
              <w:textAlignment w:val="center"/>
              <w:rPr>
                <w:rFonts w:ascii="宋体" w:hAnsi="宋体"/>
                <w:b/>
                <w:lang w:bidi="en-US"/>
              </w:rPr>
            </w:pPr>
            <w:r>
              <w:rPr>
                <w:rFonts w:hint="eastAsia" w:ascii="宋体" w:hAnsi="宋体" w:eastAsia="宋体" w:cs="宋体"/>
                <w:b/>
                <w:bCs/>
                <w:sz w:val="21"/>
                <w:szCs w:val="21"/>
              </w:rPr>
              <w:t>本次回购注销后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23" w:type="dxa"/>
            <w:vMerge w:val="continue"/>
            <w:shd w:val="clear" w:color="auto" w:fill="D8D8D8" w:themeFill="background1" w:themeFillShade="D9"/>
            <w:vAlign w:val="center"/>
          </w:tcPr>
          <w:p>
            <w:pPr>
              <w:jc w:val="center"/>
              <w:rPr>
                <w:rFonts w:ascii="宋体" w:hAnsi="宋体"/>
                <w:b/>
                <w:lang w:bidi="en-US"/>
              </w:rPr>
            </w:pPr>
          </w:p>
        </w:tc>
        <w:tc>
          <w:tcPr>
            <w:tcW w:w="1524" w:type="dxa"/>
            <w:shd w:val="clear" w:color="auto" w:fill="D8D8D8" w:themeFill="background1" w:themeFillShade="D9"/>
            <w:vAlign w:val="center"/>
          </w:tcPr>
          <w:p>
            <w:pPr>
              <w:jc w:val="center"/>
              <w:textAlignment w:val="center"/>
              <w:rPr>
                <w:rFonts w:ascii="宋体" w:hAnsi="宋体"/>
                <w:b/>
                <w:lang w:bidi="en-US"/>
              </w:rPr>
            </w:pPr>
            <w:r>
              <w:rPr>
                <w:rFonts w:hint="eastAsia" w:ascii="宋体" w:hAnsi="宋体" w:eastAsia="宋体" w:cs="宋体"/>
                <w:b/>
                <w:bCs/>
                <w:sz w:val="21"/>
                <w:szCs w:val="21"/>
              </w:rPr>
              <w:t>股份数量（股）</w:t>
            </w:r>
          </w:p>
        </w:tc>
        <w:tc>
          <w:tcPr>
            <w:tcW w:w="1088" w:type="dxa"/>
            <w:shd w:val="clear" w:color="auto" w:fill="D8D8D8" w:themeFill="background1" w:themeFillShade="D9"/>
            <w:vAlign w:val="center"/>
          </w:tcPr>
          <w:p>
            <w:pPr>
              <w:jc w:val="center"/>
              <w:textAlignment w:val="center"/>
              <w:rPr>
                <w:rFonts w:ascii="宋体" w:hAnsi="宋体"/>
                <w:b/>
                <w:lang w:bidi="en-US"/>
              </w:rPr>
            </w:pPr>
            <w:r>
              <w:rPr>
                <w:rFonts w:hint="eastAsia" w:ascii="宋体" w:hAnsi="宋体" w:eastAsia="宋体" w:cs="宋体"/>
                <w:b/>
                <w:bCs/>
                <w:sz w:val="21"/>
                <w:szCs w:val="21"/>
              </w:rPr>
              <w:t>比例</w:t>
            </w:r>
          </w:p>
        </w:tc>
        <w:tc>
          <w:tcPr>
            <w:tcW w:w="1124" w:type="dxa"/>
            <w:vMerge w:val="continue"/>
            <w:shd w:val="clear" w:color="auto" w:fill="D8D8D8" w:themeFill="background1" w:themeFillShade="D9"/>
            <w:vAlign w:val="center"/>
          </w:tcPr>
          <w:p>
            <w:pPr>
              <w:jc w:val="center"/>
              <w:rPr>
                <w:rFonts w:ascii="宋体" w:hAnsi="宋体"/>
                <w:b/>
                <w:lang w:bidi="en-US"/>
              </w:rPr>
            </w:pPr>
          </w:p>
        </w:tc>
        <w:tc>
          <w:tcPr>
            <w:tcW w:w="1530" w:type="dxa"/>
            <w:shd w:val="clear" w:color="auto" w:fill="D8D8D8" w:themeFill="background1" w:themeFillShade="D9"/>
            <w:vAlign w:val="center"/>
          </w:tcPr>
          <w:p>
            <w:pPr>
              <w:jc w:val="both"/>
              <w:textAlignment w:val="center"/>
              <w:rPr>
                <w:rFonts w:ascii="宋体" w:hAnsi="宋体"/>
                <w:b/>
                <w:lang w:bidi="en-US"/>
              </w:rPr>
            </w:pPr>
            <w:r>
              <w:rPr>
                <w:rFonts w:hint="eastAsia" w:ascii="宋体" w:hAnsi="宋体" w:eastAsia="宋体" w:cs="宋体"/>
                <w:b/>
                <w:bCs/>
                <w:sz w:val="21"/>
                <w:szCs w:val="21"/>
              </w:rPr>
              <w:t>股份数量（股）</w:t>
            </w:r>
          </w:p>
        </w:tc>
        <w:tc>
          <w:tcPr>
            <w:tcW w:w="1092" w:type="dxa"/>
            <w:shd w:val="clear" w:color="auto" w:fill="D8D8D8" w:themeFill="background1" w:themeFillShade="D9"/>
            <w:vAlign w:val="center"/>
          </w:tcPr>
          <w:p>
            <w:pPr>
              <w:jc w:val="center"/>
              <w:textAlignment w:val="center"/>
              <w:rPr>
                <w:rFonts w:ascii="宋体" w:hAnsi="宋体"/>
                <w:b/>
                <w:lang w:bidi="en-US"/>
              </w:rPr>
            </w:pPr>
            <w:r>
              <w:rPr>
                <w:rFonts w:hint="eastAsia" w:ascii="宋体" w:hAnsi="宋体" w:eastAsia="宋体" w:cs="宋体"/>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23" w:type="dxa"/>
            <w:vAlign w:val="center"/>
          </w:tcPr>
          <w:p>
            <w:pPr>
              <w:textAlignment w:val="center"/>
              <w:rPr>
                <w:rFonts w:ascii="宋体" w:hAnsi="宋体"/>
                <w:lang w:bidi="en-US"/>
              </w:rPr>
            </w:pPr>
            <w:r>
              <w:rPr>
                <w:rStyle w:val="19"/>
                <w:rFonts w:hint="default"/>
                <w:lang w:bidi="ar"/>
              </w:rPr>
              <w:t>一、有限售条件流通股</w:t>
            </w:r>
          </w:p>
        </w:tc>
        <w:tc>
          <w:tcPr>
            <w:tcW w:w="1524" w:type="dxa"/>
            <w:vAlign w:val="center"/>
          </w:tcPr>
          <w:p>
            <w:pPr>
              <w:jc w:val="center"/>
              <w:textAlignment w:val="center"/>
              <w:rPr>
                <w:rFonts w:ascii="宋体" w:hAnsi="宋体"/>
                <w:lang w:bidi="en-US"/>
              </w:rPr>
            </w:pPr>
            <w:r>
              <w:rPr>
                <w:rFonts w:hint="eastAsia" w:ascii="宋体" w:hAnsi="宋体" w:eastAsia="宋体" w:cs="宋体"/>
                <w:color w:val="000000"/>
                <w:lang w:bidi="ar"/>
              </w:rPr>
              <w:t>100,059,819</w:t>
            </w:r>
          </w:p>
        </w:tc>
        <w:tc>
          <w:tcPr>
            <w:tcW w:w="1088" w:type="dxa"/>
            <w:vAlign w:val="center"/>
          </w:tcPr>
          <w:p>
            <w:pPr>
              <w:jc w:val="center"/>
              <w:textAlignment w:val="center"/>
              <w:rPr>
                <w:rFonts w:ascii="宋体" w:hAnsi="宋体"/>
                <w:lang w:bidi="en-US"/>
              </w:rPr>
            </w:pPr>
            <w:r>
              <w:rPr>
                <w:rFonts w:hint="eastAsia" w:ascii="宋体" w:hAnsi="宋体" w:eastAsia="宋体" w:cs="宋体"/>
                <w:color w:val="000000"/>
                <w:lang w:bidi="ar"/>
              </w:rPr>
              <w:t>45.58%</w:t>
            </w:r>
          </w:p>
        </w:tc>
        <w:tc>
          <w:tcPr>
            <w:tcW w:w="1124" w:type="dxa"/>
            <w:vAlign w:val="center"/>
          </w:tcPr>
          <w:p>
            <w:pPr>
              <w:jc w:val="center"/>
              <w:textAlignment w:val="center"/>
              <w:rPr>
                <w:rFonts w:ascii="宋体" w:hAnsi="宋体"/>
                <w:lang w:bidi="en-US"/>
              </w:rPr>
            </w:pPr>
            <w:r>
              <w:rPr>
                <w:rFonts w:hint="eastAsia" w:ascii="宋体" w:hAnsi="宋体" w:eastAsia="宋体" w:cs="宋体"/>
                <w:color w:val="000000"/>
                <w:lang w:bidi="ar"/>
              </w:rPr>
              <w:t>-171,405</w:t>
            </w:r>
          </w:p>
        </w:tc>
        <w:tc>
          <w:tcPr>
            <w:tcW w:w="1530" w:type="dxa"/>
            <w:vAlign w:val="center"/>
          </w:tcPr>
          <w:p>
            <w:pPr>
              <w:jc w:val="center"/>
              <w:textAlignment w:val="center"/>
              <w:rPr>
                <w:rFonts w:ascii="宋体" w:hAnsi="宋体"/>
                <w:lang w:bidi="en-US"/>
              </w:rPr>
            </w:pPr>
            <w:r>
              <w:rPr>
                <w:rFonts w:hint="eastAsia" w:ascii="宋体" w:hAnsi="宋体" w:eastAsia="宋体" w:cs="宋体"/>
                <w:color w:val="000000"/>
                <w:lang w:bidi="ar"/>
              </w:rPr>
              <w:t>99,888,414</w:t>
            </w:r>
          </w:p>
        </w:tc>
        <w:tc>
          <w:tcPr>
            <w:tcW w:w="1092" w:type="dxa"/>
            <w:vAlign w:val="center"/>
          </w:tcPr>
          <w:p>
            <w:pPr>
              <w:jc w:val="center"/>
              <w:textAlignment w:val="center"/>
              <w:rPr>
                <w:rFonts w:ascii="宋体" w:hAnsi="宋体"/>
                <w:lang w:bidi="en-US"/>
              </w:rPr>
            </w:pPr>
            <w:r>
              <w:rPr>
                <w:rFonts w:hint="eastAsia" w:ascii="宋体" w:hAnsi="宋体" w:eastAsia="宋体" w:cs="宋体"/>
                <w:color w:val="000000"/>
                <w:lang w:bidi="ar"/>
              </w:rPr>
              <w:t>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3" w:type="dxa"/>
            <w:vAlign w:val="center"/>
          </w:tcPr>
          <w:p>
            <w:pPr>
              <w:textAlignment w:val="center"/>
              <w:rPr>
                <w:rFonts w:ascii="宋体" w:hAnsi="宋体"/>
                <w:lang w:bidi="en-US"/>
              </w:rPr>
            </w:pPr>
            <w:r>
              <w:rPr>
                <w:rStyle w:val="19"/>
                <w:rFonts w:hint="default"/>
                <w:lang w:bidi="ar"/>
              </w:rPr>
              <w:t>1、股权激励限售股</w:t>
            </w:r>
          </w:p>
        </w:tc>
        <w:tc>
          <w:tcPr>
            <w:tcW w:w="1524" w:type="dxa"/>
            <w:vAlign w:val="center"/>
          </w:tcPr>
          <w:p>
            <w:pPr>
              <w:jc w:val="center"/>
              <w:textAlignment w:val="center"/>
              <w:rPr>
                <w:rFonts w:ascii="宋体" w:hAnsi="宋体" w:eastAsia="宋体"/>
                <w:lang w:bidi="en-US"/>
              </w:rPr>
            </w:pPr>
            <w:r>
              <w:rPr>
                <w:rFonts w:hint="eastAsia" w:ascii="宋体" w:hAnsi="宋体" w:eastAsia="宋体" w:cs="宋体"/>
                <w:color w:val="000000"/>
                <w:lang w:bidi="ar"/>
              </w:rPr>
              <w:t>1,712,962</w:t>
            </w:r>
          </w:p>
        </w:tc>
        <w:tc>
          <w:tcPr>
            <w:tcW w:w="1088" w:type="dxa"/>
            <w:vAlign w:val="center"/>
          </w:tcPr>
          <w:p>
            <w:pPr>
              <w:jc w:val="center"/>
              <w:textAlignment w:val="center"/>
              <w:rPr>
                <w:rFonts w:ascii="宋体" w:hAnsi="宋体"/>
                <w:lang w:bidi="en-US"/>
              </w:rPr>
            </w:pPr>
            <w:r>
              <w:rPr>
                <w:rFonts w:hint="eastAsia" w:ascii="宋体" w:hAnsi="宋体" w:eastAsia="宋体" w:cs="宋体"/>
                <w:color w:val="000000"/>
                <w:lang w:bidi="ar"/>
              </w:rPr>
              <w:t>0.78%</w:t>
            </w:r>
          </w:p>
        </w:tc>
        <w:tc>
          <w:tcPr>
            <w:tcW w:w="1124" w:type="dxa"/>
            <w:vAlign w:val="center"/>
          </w:tcPr>
          <w:p>
            <w:pPr>
              <w:jc w:val="center"/>
              <w:textAlignment w:val="center"/>
              <w:rPr>
                <w:rFonts w:ascii="宋体" w:hAnsi="宋体"/>
                <w:lang w:bidi="en-US"/>
              </w:rPr>
            </w:pPr>
            <w:r>
              <w:rPr>
                <w:rFonts w:hint="eastAsia" w:ascii="宋体" w:hAnsi="宋体" w:eastAsia="宋体" w:cs="宋体"/>
                <w:color w:val="000000"/>
                <w:lang w:bidi="ar"/>
              </w:rPr>
              <w:t>-171,405</w:t>
            </w:r>
          </w:p>
        </w:tc>
        <w:tc>
          <w:tcPr>
            <w:tcW w:w="1530" w:type="dxa"/>
            <w:vAlign w:val="center"/>
          </w:tcPr>
          <w:p>
            <w:pPr>
              <w:jc w:val="center"/>
              <w:textAlignment w:val="center"/>
              <w:rPr>
                <w:rFonts w:ascii="宋体" w:hAnsi="宋体"/>
                <w:lang w:bidi="en-US"/>
              </w:rPr>
            </w:pPr>
            <w:r>
              <w:rPr>
                <w:rFonts w:hint="eastAsia" w:ascii="宋体" w:hAnsi="宋体" w:eastAsia="宋体" w:cs="宋体"/>
                <w:color w:val="000000"/>
                <w:lang w:bidi="ar"/>
              </w:rPr>
              <w:t>1,541,557</w:t>
            </w:r>
          </w:p>
        </w:tc>
        <w:tc>
          <w:tcPr>
            <w:tcW w:w="1092" w:type="dxa"/>
            <w:vAlign w:val="center"/>
          </w:tcPr>
          <w:p>
            <w:pPr>
              <w:jc w:val="center"/>
              <w:textAlignment w:val="center"/>
              <w:rPr>
                <w:rFonts w:ascii="宋体" w:hAnsi="宋体"/>
                <w:lang w:bidi="en-US"/>
              </w:rPr>
            </w:pPr>
            <w:r>
              <w:rPr>
                <w:rFonts w:hint="eastAsia" w:ascii="宋体" w:hAnsi="宋体" w:eastAsia="宋体" w:cs="宋体"/>
                <w:color w:val="000000"/>
                <w:lang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textAlignment w:val="center"/>
              <w:rPr>
                <w:rFonts w:ascii="宋体" w:hAnsi="宋体"/>
                <w:lang w:bidi="en-US"/>
              </w:rPr>
            </w:pPr>
            <w:r>
              <w:rPr>
                <w:rStyle w:val="19"/>
                <w:rFonts w:hint="default"/>
                <w:lang w:bidi="ar"/>
              </w:rPr>
              <w:t>2、高管锁定股</w:t>
            </w:r>
          </w:p>
        </w:tc>
        <w:tc>
          <w:tcPr>
            <w:tcW w:w="1524" w:type="dxa"/>
            <w:vAlign w:val="center"/>
          </w:tcPr>
          <w:p>
            <w:pPr>
              <w:jc w:val="center"/>
              <w:textAlignment w:val="center"/>
              <w:rPr>
                <w:rFonts w:ascii="宋体" w:hAnsi="宋体"/>
                <w:lang w:bidi="en-US"/>
              </w:rPr>
            </w:pPr>
            <w:r>
              <w:rPr>
                <w:rFonts w:hint="eastAsia" w:ascii="宋体" w:hAnsi="宋体" w:eastAsia="宋体" w:cs="宋体"/>
                <w:color w:val="000000"/>
                <w:lang w:bidi="ar"/>
              </w:rPr>
              <w:t>98,346,857</w:t>
            </w:r>
          </w:p>
        </w:tc>
        <w:tc>
          <w:tcPr>
            <w:tcW w:w="1088" w:type="dxa"/>
            <w:vAlign w:val="center"/>
          </w:tcPr>
          <w:p>
            <w:pPr>
              <w:jc w:val="center"/>
              <w:textAlignment w:val="center"/>
              <w:rPr>
                <w:rFonts w:ascii="宋体" w:hAnsi="宋体"/>
                <w:lang w:bidi="en-US"/>
              </w:rPr>
            </w:pPr>
            <w:r>
              <w:rPr>
                <w:rFonts w:hint="eastAsia" w:ascii="宋体" w:hAnsi="宋体" w:eastAsia="宋体" w:cs="宋体"/>
                <w:color w:val="000000"/>
                <w:lang w:bidi="ar"/>
              </w:rPr>
              <w:t>44.80%</w:t>
            </w:r>
          </w:p>
        </w:tc>
        <w:tc>
          <w:tcPr>
            <w:tcW w:w="1124" w:type="dxa"/>
            <w:vAlign w:val="center"/>
          </w:tcPr>
          <w:p>
            <w:pPr>
              <w:jc w:val="center"/>
              <w:rPr>
                <w:rFonts w:ascii="宋体" w:hAnsi="宋体" w:eastAsia="宋体"/>
                <w:lang w:bidi="en-US"/>
              </w:rPr>
            </w:pPr>
          </w:p>
        </w:tc>
        <w:tc>
          <w:tcPr>
            <w:tcW w:w="1530" w:type="dxa"/>
            <w:vAlign w:val="center"/>
          </w:tcPr>
          <w:p>
            <w:pPr>
              <w:jc w:val="center"/>
              <w:textAlignment w:val="center"/>
              <w:rPr>
                <w:rFonts w:ascii="宋体" w:hAnsi="宋体"/>
                <w:lang w:bidi="en-US"/>
              </w:rPr>
            </w:pPr>
            <w:r>
              <w:rPr>
                <w:rFonts w:hint="eastAsia" w:ascii="宋体" w:hAnsi="宋体" w:eastAsia="宋体" w:cs="宋体"/>
                <w:color w:val="000000"/>
                <w:lang w:bidi="ar"/>
              </w:rPr>
              <w:t>98,346,857</w:t>
            </w:r>
          </w:p>
        </w:tc>
        <w:tc>
          <w:tcPr>
            <w:tcW w:w="1092" w:type="dxa"/>
            <w:vAlign w:val="center"/>
          </w:tcPr>
          <w:p>
            <w:pPr>
              <w:jc w:val="center"/>
              <w:textAlignment w:val="center"/>
              <w:rPr>
                <w:rFonts w:ascii="宋体" w:hAnsi="宋体"/>
                <w:lang w:bidi="en-US"/>
              </w:rPr>
            </w:pPr>
            <w:r>
              <w:rPr>
                <w:rFonts w:hint="eastAsia" w:ascii="宋体" w:hAnsi="宋体" w:eastAsia="宋体" w:cs="宋体"/>
                <w:color w:val="000000"/>
                <w:lang w:bidi="ar"/>
              </w:rPr>
              <w:t>44.83%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textAlignment w:val="center"/>
              <w:rPr>
                <w:rFonts w:ascii="宋体" w:hAnsi="宋体"/>
                <w:lang w:bidi="en-US"/>
              </w:rPr>
            </w:pPr>
            <w:r>
              <w:rPr>
                <w:rStyle w:val="19"/>
                <w:rFonts w:hint="default"/>
                <w:lang w:bidi="ar"/>
              </w:rPr>
              <w:t>二、无限售条件流通股</w:t>
            </w:r>
          </w:p>
        </w:tc>
        <w:tc>
          <w:tcPr>
            <w:tcW w:w="1524" w:type="dxa"/>
            <w:vAlign w:val="center"/>
          </w:tcPr>
          <w:p>
            <w:pPr>
              <w:jc w:val="center"/>
              <w:textAlignment w:val="center"/>
              <w:rPr>
                <w:rFonts w:ascii="宋体" w:hAnsi="宋体"/>
                <w:lang w:bidi="en-US"/>
              </w:rPr>
            </w:pPr>
            <w:r>
              <w:rPr>
                <w:rFonts w:hint="eastAsia" w:ascii="宋体" w:hAnsi="宋体" w:eastAsia="宋体" w:cs="宋体"/>
                <w:color w:val="000000"/>
                <w:lang w:bidi="ar"/>
              </w:rPr>
              <w:t>119,480,473</w:t>
            </w:r>
          </w:p>
        </w:tc>
        <w:tc>
          <w:tcPr>
            <w:tcW w:w="1088" w:type="dxa"/>
            <w:vAlign w:val="center"/>
          </w:tcPr>
          <w:p>
            <w:pPr>
              <w:jc w:val="center"/>
              <w:textAlignment w:val="center"/>
              <w:rPr>
                <w:rFonts w:ascii="宋体" w:hAnsi="宋体"/>
                <w:lang w:bidi="en-US"/>
              </w:rPr>
            </w:pPr>
            <w:r>
              <w:rPr>
                <w:rFonts w:hint="eastAsia" w:ascii="宋体" w:hAnsi="宋体" w:eastAsia="宋体" w:cs="宋体"/>
                <w:color w:val="000000"/>
                <w:lang w:bidi="ar"/>
              </w:rPr>
              <w:t>54.42%</w:t>
            </w:r>
          </w:p>
        </w:tc>
        <w:tc>
          <w:tcPr>
            <w:tcW w:w="1124" w:type="dxa"/>
            <w:vAlign w:val="center"/>
          </w:tcPr>
          <w:p>
            <w:pPr>
              <w:jc w:val="center"/>
              <w:rPr>
                <w:rFonts w:ascii="宋体" w:hAnsi="宋体" w:eastAsia="宋体"/>
                <w:lang w:bidi="en-US"/>
              </w:rPr>
            </w:pPr>
          </w:p>
        </w:tc>
        <w:tc>
          <w:tcPr>
            <w:tcW w:w="1530" w:type="dxa"/>
            <w:vAlign w:val="center"/>
          </w:tcPr>
          <w:p>
            <w:pPr>
              <w:jc w:val="center"/>
              <w:textAlignment w:val="center"/>
              <w:rPr>
                <w:rFonts w:ascii="宋体" w:hAnsi="宋体"/>
                <w:lang w:bidi="en-US"/>
              </w:rPr>
            </w:pPr>
            <w:r>
              <w:rPr>
                <w:rFonts w:hint="eastAsia" w:ascii="宋体" w:hAnsi="宋体" w:eastAsia="宋体" w:cs="宋体"/>
                <w:color w:val="000000"/>
                <w:lang w:bidi="ar"/>
              </w:rPr>
              <w:t>119,480,473</w:t>
            </w:r>
          </w:p>
        </w:tc>
        <w:tc>
          <w:tcPr>
            <w:tcW w:w="1092" w:type="dxa"/>
            <w:vAlign w:val="center"/>
          </w:tcPr>
          <w:p>
            <w:pPr>
              <w:jc w:val="center"/>
              <w:textAlignment w:val="center"/>
              <w:rPr>
                <w:rFonts w:ascii="宋体" w:hAnsi="宋体"/>
                <w:lang w:bidi="en-US"/>
              </w:rPr>
            </w:pPr>
            <w:r>
              <w:rPr>
                <w:rFonts w:hint="eastAsia" w:ascii="宋体" w:hAnsi="宋体" w:eastAsia="宋体" w:cs="宋体"/>
                <w:color w:val="000000"/>
                <w:lang w:bidi="ar"/>
              </w:rPr>
              <w:t>54.47%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jc w:val="center"/>
              <w:textAlignment w:val="center"/>
              <w:rPr>
                <w:rFonts w:ascii="宋体" w:hAnsi="宋体"/>
                <w:lang w:bidi="en-US"/>
              </w:rPr>
            </w:pPr>
            <w:r>
              <w:rPr>
                <w:rStyle w:val="19"/>
                <w:rFonts w:hint="default"/>
                <w:lang w:bidi="ar"/>
              </w:rPr>
              <w:t>合计</w:t>
            </w:r>
          </w:p>
        </w:tc>
        <w:tc>
          <w:tcPr>
            <w:tcW w:w="1524" w:type="dxa"/>
            <w:vAlign w:val="center"/>
          </w:tcPr>
          <w:p>
            <w:pPr>
              <w:jc w:val="center"/>
              <w:textAlignment w:val="center"/>
              <w:rPr>
                <w:rFonts w:ascii="宋体" w:hAnsi="宋体"/>
                <w:lang w:bidi="en-US"/>
              </w:rPr>
            </w:pPr>
            <w:r>
              <w:rPr>
                <w:rFonts w:hint="eastAsia" w:ascii="宋体" w:hAnsi="宋体" w:eastAsia="宋体" w:cs="宋体"/>
                <w:color w:val="000000"/>
                <w:lang w:bidi="ar"/>
              </w:rPr>
              <w:t>219,540,292</w:t>
            </w:r>
          </w:p>
        </w:tc>
        <w:tc>
          <w:tcPr>
            <w:tcW w:w="1088" w:type="dxa"/>
            <w:vAlign w:val="center"/>
          </w:tcPr>
          <w:p>
            <w:pPr>
              <w:jc w:val="center"/>
              <w:textAlignment w:val="center"/>
              <w:rPr>
                <w:rFonts w:ascii="宋体" w:hAnsi="宋体" w:eastAsia="宋体"/>
                <w:lang w:bidi="en-US"/>
              </w:rPr>
            </w:pPr>
            <w:r>
              <w:rPr>
                <w:rFonts w:hint="eastAsia" w:ascii="宋体" w:hAnsi="宋体" w:eastAsia="宋体" w:cs="宋体"/>
                <w:color w:val="000000"/>
                <w:sz w:val="21"/>
                <w:szCs w:val="21"/>
                <w:lang w:bidi="ar"/>
              </w:rPr>
              <w:t>100.00%</w:t>
            </w:r>
          </w:p>
        </w:tc>
        <w:tc>
          <w:tcPr>
            <w:tcW w:w="1124" w:type="dxa"/>
            <w:vAlign w:val="center"/>
          </w:tcPr>
          <w:p>
            <w:pPr>
              <w:jc w:val="center"/>
              <w:textAlignment w:val="center"/>
              <w:rPr>
                <w:rFonts w:ascii="宋体" w:hAnsi="宋体"/>
                <w:lang w:bidi="en-US"/>
              </w:rPr>
            </w:pPr>
            <w:r>
              <w:rPr>
                <w:rFonts w:hint="eastAsia" w:ascii="宋体" w:hAnsi="宋体" w:eastAsia="宋体" w:cs="宋体"/>
                <w:color w:val="000000"/>
                <w:lang w:bidi="ar"/>
              </w:rPr>
              <w:t>-171,405</w:t>
            </w:r>
          </w:p>
        </w:tc>
        <w:tc>
          <w:tcPr>
            <w:tcW w:w="1530" w:type="dxa"/>
            <w:vAlign w:val="center"/>
          </w:tcPr>
          <w:p>
            <w:pPr>
              <w:jc w:val="center"/>
              <w:textAlignment w:val="center"/>
              <w:rPr>
                <w:rFonts w:ascii="宋体" w:hAnsi="宋体"/>
                <w:lang w:bidi="en-US"/>
              </w:rPr>
            </w:pPr>
            <w:r>
              <w:rPr>
                <w:rFonts w:hint="eastAsia" w:ascii="宋体" w:hAnsi="宋体" w:eastAsia="宋体" w:cs="宋体"/>
                <w:color w:val="000000"/>
                <w:lang w:bidi="ar"/>
              </w:rPr>
              <w:t>219,368,887</w:t>
            </w:r>
          </w:p>
        </w:tc>
        <w:tc>
          <w:tcPr>
            <w:tcW w:w="1092" w:type="dxa"/>
            <w:vAlign w:val="center"/>
          </w:tcPr>
          <w:p>
            <w:pPr>
              <w:jc w:val="center"/>
              <w:textAlignment w:val="center"/>
              <w:rPr>
                <w:rFonts w:ascii="宋体" w:hAnsi="宋体" w:eastAsia="宋体"/>
                <w:lang w:bidi="en-US"/>
              </w:rPr>
            </w:pPr>
            <w:r>
              <w:rPr>
                <w:rFonts w:hint="eastAsia" w:ascii="宋体" w:hAnsi="宋体" w:eastAsia="宋体" w:cs="宋体"/>
                <w:color w:val="000000"/>
                <w:lang w:bidi="ar"/>
              </w:rPr>
              <w:t>100.00%</w:t>
            </w:r>
          </w:p>
        </w:tc>
      </w:tr>
    </w:tbl>
    <w:p>
      <w:pPr>
        <w:pStyle w:val="12"/>
        <w:spacing w:before="156" w:beforeLines="50" w:after="156" w:afterLines="50" w:line="360" w:lineRule="auto"/>
        <w:ind w:firstLine="420" w:firstLineChars="200"/>
        <w:rPr>
          <w:rFonts w:ascii="宋体" w:hAnsi="宋体"/>
          <w:lang w:bidi="en-US"/>
        </w:rPr>
      </w:pPr>
      <w:r>
        <w:rPr>
          <w:rFonts w:hint="eastAsia" w:ascii="宋体" w:hAnsi="宋体"/>
          <w:lang w:bidi="en-US"/>
        </w:rPr>
        <w:t>（备注：1、本表中合计数与各明细数直接相加之和在尾数上如有差异，是由于四舍五入所造成。）</w:t>
      </w:r>
    </w:p>
    <w:p>
      <w:pPr>
        <w:spacing w:before="156" w:beforeLines="50" w:after="156" w:afterLines="50" w:line="360" w:lineRule="auto"/>
        <w:ind w:firstLine="480" w:firstLineChars="200"/>
        <w:rPr>
          <w:rFonts w:ascii="宋体" w:hAnsi="宋体" w:eastAsia="宋体" w:cs="Times New Roman"/>
          <w:sz w:val="24"/>
          <w:szCs w:val="21"/>
          <w:lang w:bidi="en-US"/>
        </w:rPr>
      </w:pPr>
      <w:r>
        <w:rPr>
          <w:rFonts w:hint="eastAsia" w:ascii="宋体" w:hAnsi="宋体" w:eastAsia="宋体" w:cs="Times New Roman"/>
          <w:sz w:val="24"/>
          <w:szCs w:val="21"/>
          <w:lang w:bidi="en-US"/>
        </w:rPr>
        <w:t xml:space="preserve">上述股票的回购注销将导致公司股份总数减少171,405股，公司总股本将由219,540,292股变更为219,368,887股。 </w:t>
      </w:r>
    </w:p>
    <w:p>
      <w:pPr>
        <w:numPr>
          <w:ilvl w:val="0"/>
          <w:numId w:val="1"/>
        </w:numPr>
        <w:spacing w:before="156" w:beforeLines="50" w:after="156" w:afterLines="50" w:line="360" w:lineRule="auto"/>
        <w:ind w:firstLine="57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本次回购注销对公司的影响 </w:t>
      </w:r>
    </w:p>
    <w:p>
      <w:pPr>
        <w:spacing w:before="156" w:beforeLines="50" w:after="156"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本次公司对部分限制性股票回购注销不会对公司的财务状况和经营成果产生重大影响。不影响公司2021年限制性股票激励计划的继续实施。公司管理团队将继续认真履行工作职责，努力为股东创造价值。</w:t>
      </w:r>
    </w:p>
    <w:p>
      <w:pPr>
        <w:spacing w:before="156" w:beforeLines="50" w:after="156"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特此公告。</w:t>
      </w:r>
    </w:p>
    <w:p>
      <w:pPr>
        <w:spacing w:before="156" w:beforeLines="50" w:after="156" w:afterLines="50"/>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青岛伟隆阀门股份有限公司</w:t>
      </w:r>
    </w:p>
    <w:p>
      <w:pPr>
        <w:spacing w:before="156" w:beforeLines="50" w:after="156" w:afterLines="50"/>
        <w:ind w:firstLine="5640" w:firstLineChars="2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董事会 </w:t>
      </w:r>
    </w:p>
    <w:p>
      <w:pPr>
        <w:spacing w:before="156" w:beforeLines="50" w:after="156" w:afterLines="50"/>
        <w:ind w:firstLine="5040" w:firstLineChars="2100"/>
        <w:rPr>
          <w:rFonts w:ascii="宋体" w:hAnsi="宋体" w:eastAsia="宋体" w:cs="Times New Roman"/>
          <w:sz w:val="24"/>
          <w:szCs w:val="21"/>
          <w:lang w:bidi="en-US"/>
        </w:rPr>
      </w:pPr>
      <w:r>
        <w:rPr>
          <w:rFonts w:hint="eastAsia" w:asciiTheme="minorEastAsia" w:hAnsiTheme="minorEastAsia" w:eastAsiaTheme="minorEastAsia"/>
          <w:sz w:val="24"/>
          <w:szCs w:val="24"/>
        </w:rPr>
        <w:t>2023年12月</w:t>
      </w:r>
      <w:r>
        <w:rPr>
          <w:rFonts w:hint="default" w:asciiTheme="minorEastAsia" w:hAnsiTheme="minorEastAsia" w:eastAsiaTheme="minorEastAsia"/>
          <w:sz w:val="24"/>
          <w:szCs w:val="24"/>
          <w:lang w:val="en-US"/>
        </w:rPr>
        <w:t>21</w:t>
      </w:r>
      <w:bookmarkStart w:id="3" w:name="_GoBack"/>
      <w:bookmarkEnd w:id="3"/>
      <w:r>
        <w:rPr>
          <w:rFonts w:hint="eastAsia" w:asciiTheme="minorEastAsia" w:hAnsiTheme="minorEastAsia" w:eastAsiaTheme="minorEastAsia"/>
          <w:sz w:val="24"/>
          <w:szCs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4719B"/>
    <w:multiLevelType w:val="singleLevel"/>
    <w:tmpl w:val="F4F471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RiYWIwNzkzYTg0MzhhYmIxYTgwNmNhNDYxODQzNjMifQ=="/>
  </w:docVars>
  <w:rsids>
    <w:rsidRoot w:val="00172A27"/>
    <w:rsid w:val="000F0995"/>
    <w:rsid w:val="00100BDF"/>
    <w:rsid w:val="0012194B"/>
    <w:rsid w:val="00172A27"/>
    <w:rsid w:val="001E6FDA"/>
    <w:rsid w:val="002441F7"/>
    <w:rsid w:val="0029035C"/>
    <w:rsid w:val="00320256"/>
    <w:rsid w:val="00320C8E"/>
    <w:rsid w:val="003437D3"/>
    <w:rsid w:val="00372706"/>
    <w:rsid w:val="0044040F"/>
    <w:rsid w:val="004A1485"/>
    <w:rsid w:val="005809D7"/>
    <w:rsid w:val="0069756E"/>
    <w:rsid w:val="007103E4"/>
    <w:rsid w:val="00756572"/>
    <w:rsid w:val="00830A54"/>
    <w:rsid w:val="00873A65"/>
    <w:rsid w:val="00877698"/>
    <w:rsid w:val="008C2BAB"/>
    <w:rsid w:val="00913D97"/>
    <w:rsid w:val="00924EC8"/>
    <w:rsid w:val="0097477B"/>
    <w:rsid w:val="009B5AC2"/>
    <w:rsid w:val="00A810BA"/>
    <w:rsid w:val="00AF24F7"/>
    <w:rsid w:val="00B363B4"/>
    <w:rsid w:val="00B45E0D"/>
    <w:rsid w:val="00B84AD2"/>
    <w:rsid w:val="00CA13FB"/>
    <w:rsid w:val="00CA7C14"/>
    <w:rsid w:val="00CB4D6B"/>
    <w:rsid w:val="00D34547"/>
    <w:rsid w:val="00D705E5"/>
    <w:rsid w:val="00E52B5D"/>
    <w:rsid w:val="00F4508F"/>
    <w:rsid w:val="00F50302"/>
    <w:rsid w:val="00F555FE"/>
    <w:rsid w:val="00F8008F"/>
    <w:rsid w:val="00FB4CCD"/>
    <w:rsid w:val="018F4C90"/>
    <w:rsid w:val="03B81603"/>
    <w:rsid w:val="063E4530"/>
    <w:rsid w:val="06E3518A"/>
    <w:rsid w:val="07F32E97"/>
    <w:rsid w:val="0BFF75E6"/>
    <w:rsid w:val="0C386B50"/>
    <w:rsid w:val="0CD44076"/>
    <w:rsid w:val="0E1B1CE2"/>
    <w:rsid w:val="0F9C7576"/>
    <w:rsid w:val="100C44D6"/>
    <w:rsid w:val="1186690F"/>
    <w:rsid w:val="15ED01AD"/>
    <w:rsid w:val="16CC5D6C"/>
    <w:rsid w:val="16D81750"/>
    <w:rsid w:val="19C33840"/>
    <w:rsid w:val="19D71EA5"/>
    <w:rsid w:val="1B21581C"/>
    <w:rsid w:val="1C0F5F35"/>
    <w:rsid w:val="1F07330A"/>
    <w:rsid w:val="2250591D"/>
    <w:rsid w:val="22F907B9"/>
    <w:rsid w:val="234B7232"/>
    <w:rsid w:val="23B66B3E"/>
    <w:rsid w:val="282775B0"/>
    <w:rsid w:val="2FF139AE"/>
    <w:rsid w:val="32D30E25"/>
    <w:rsid w:val="32ED5860"/>
    <w:rsid w:val="39AF1CBB"/>
    <w:rsid w:val="3E805949"/>
    <w:rsid w:val="420C6291"/>
    <w:rsid w:val="45522714"/>
    <w:rsid w:val="47037407"/>
    <w:rsid w:val="4B7E1671"/>
    <w:rsid w:val="4D2C055F"/>
    <w:rsid w:val="4D834C75"/>
    <w:rsid w:val="503B5C33"/>
    <w:rsid w:val="51735001"/>
    <w:rsid w:val="52431211"/>
    <w:rsid w:val="53A96AB8"/>
    <w:rsid w:val="58C277F9"/>
    <w:rsid w:val="5900576D"/>
    <w:rsid w:val="5B23548E"/>
    <w:rsid w:val="5B536239"/>
    <w:rsid w:val="5D5E3C65"/>
    <w:rsid w:val="5F1A4D0E"/>
    <w:rsid w:val="603B377A"/>
    <w:rsid w:val="62905C5B"/>
    <w:rsid w:val="657B4E01"/>
    <w:rsid w:val="66A67A20"/>
    <w:rsid w:val="67D254CC"/>
    <w:rsid w:val="6A9969ED"/>
    <w:rsid w:val="6BD7078F"/>
    <w:rsid w:val="6D386DDD"/>
    <w:rsid w:val="6D4804A2"/>
    <w:rsid w:val="6ED21161"/>
    <w:rsid w:val="76C50E17"/>
    <w:rsid w:val="777803CC"/>
    <w:rsid w:val="780A27B0"/>
    <w:rsid w:val="7926320A"/>
    <w:rsid w:val="7F452840"/>
    <w:rsid w:val="7FD7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Balloon Text"/>
    <w:basedOn w:val="1"/>
    <w:link w:val="15"/>
    <w:qFormat/>
    <w:uiPriority w:val="0"/>
    <w:pPr>
      <w:spacing w:after="0"/>
    </w:pPr>
    <w:rPr>
      <w:sz w:val="18"/>
      <w:szCs w:val="18"/>
    </w:rPr>
  </w:style>
  <w:style w:type="paragraph" w:styleId="4">
    <w:name w:val="footer"/>
    <w:basedOn w:val="1"/>
    <w:link w:val="17"/>
    <w:qFormat/>
    <w:uiPriority w:val="0"/>
    <w:pPr>
      <w:tabs>
        <w:tab w:val="center" w:pos="4153"/>
        <w:tab w:val="right" w:pos="8306"/>
      </w:tabs>
    </w:pPr>
    <w:rPr>
      <w:sz w:val="18"/>
      <w:szCs w:val="18"/>
    </w:rPr>
  </w:style>
  <w:style w:type="paragraph" w:styleId="5">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paragraph" w:customStyle="1" w:styleId="11">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2">
    <w:name w:val="p0"/>
    <w:basedOn w:val="1"/>
    <w:autoRedefine/>
    <w:qFormat/>
    <w:uiPriority w:val="0"/>
    <w:pPr>
      <w:adjustRightInd/>
      <w:snapToGrid/>
      <w:spacing w:after="0"/>
      <w:jc w:val="both"/>
    </w:pPr>
    <w:rPr>
      <w:rFonts w:ascii="Times New Roman" w:hAnsi="Times New Roman" w:eastAsia="宋体" w:cs="Times New Roman"/>
      <w:sz w:val="21"/>
      <w:szCs w:val="21"/>
    </w:rPr>
  </w:style>
  <w:style w:type="character" w:customStyle="1" w:styleId="13">
    <w:name w:val="批注文字 字符"/>
    <w:basedOn w:val="9"/>
    <w:link w:val="2"/>
    <w:autoRedefine/>
    <w:qFormat/>
    <w:uiPriority w:val="0"/>
    <w:rPr>
      <w:rFonts w:ascii="Tahoma" w:hAnsi="Tahoma" w:eastAsia="微软雅黑" w:cstheme="minorBidi"/>
      <w:sz w:val="22"/>
      <w:szCs w:val="22"/>
    </w:rPr>
  </w:style>
  <w:style w:type="character" w:customStyle="1" w:styleId="14">
    <w:name w:val="批注主题 字符"/>
    <w:basedOn w:val="13"/>
    <w:link w:val="6"/>
    <w:autoRedefine/>
    <w:qFormat/>
    <w:uiPriority w:val="0"/>
    <w:rPr>
      <w:rFonts w:ascii="Tahoma" w:hAnsi="Tahoma" w:eastAsia="微软雅黑" w:cstheme="minorBidi"/>
      <w:b/>
      <w:bCs/>
      <w:sz w:val="22"/>
      <w:szCs w:val="22"/>
    </w:rPr>
  </w:style>
  <w:style w:type="character" w:customStyle="1" w:styleId="15">
    <w:name w:val="批注框文本 字符"/>
    <w:basedOn w:val="9"/>
    <w:link w:val="3"/>
    <w:autoRedefine/>
    <w:qFormat/>
    <w:uiPriority w:val="0"/>
    <w:rPr>
      <w:rFonts w:ascii="Tahoma" w:hAnsi="Tahoma" w:eastAsia="微软雅黑" w:cstheme="minorBidi"/>
      <w:sz w:val="18"/>
      <w:szCs w:val="18"/>
    </w:rPr>
  </w:style>
  <w:style w:type="character" w:customStyle="1" w:styleId="16">
    <w:name w:val="页眉 字符"/>
    <w:basedOn w:val="9"/>
    <w:link w:val="5"/>
    <w:autoRedefine/>
    <w:qFormat/>
    <w:uiPriority w:val="0"/>
    <w:rPr>
      <w:rFonts w:ascii="Tahoma" w:hAnsi="Tahoma" w:eastAsia="微软雅黑" w:cstheme="minorBidi"/>
      <w:sz w:val="18"/>
      <w:szCs w:val="18"/>
    </w:rPr>
  </w:style>
  <w:style w:type="character" w:customStyle="1" w:styleId="17">
    <w:name w:val="页脚 字符"/>
    <w:basedOn w:val="9"/>
    <w:link w:val="4"/>
    <w:autoRedefine/>
    <w:qFormat/>
    <w:uiPriority w:val="0"/>
    <w:rPr>
      <w:rFonts w:ascii="Tahoma" w:hAnsi="Tahoma" w:eastAsia="微软雅黑" w:cstheme="minorBidi"/>
      <w:sz w:val="18"/>
      <w:szCs w:val="18"/>
    </w:rPr>
  </w:style>
  <w:style w:type="character" w:customStyle="1" w:styleId="18">
    <w:name w:val="fontstyle01"/>
    <w:basedOn w:val="9"/>
    <w:autoRedefine/>
    <w:qFormat/>
    <w:uiPriority w:val="0"/>
    <w:rPr>
      <w:rFonts w:hint="eastAsia" w:ascii="宋体" w:hAnsi="宋体" w:eastAsia="宋体"/>
      <w:color w:val="000000"/>
      <w:sz w:val="24"/>
      <w:szCs w:val="24"/>
    </w:rPr>
  </w:style>
  <w:style w:type="character" w:customStyle="1" w:styleId="19">
    <w:name w:val="font21"/>
    <w:basedOn w:val="9"/>
    <w:autoRedefine/>
    <w:qFormat/>
    <w:uiPriority w:val="0"/>
    <w:rPr>
      <w:rFonts w:hint="eastAsia" w:ascii="宋体" w:hAnsi="宋体" w:eastAsia="宋体" w:cs="宋体"/>
      <w:color w:val="000000"/>
      <w:sz w:val="21"/>
      <w:szCs w:val="21"/>
      <w:u w:val="none"/>
    </w:rPr>
  </w:style>
  <w:style w:type="paragraph" w:customStyle="1" w:styleId="20">
    <w:name w:val="Revision"/>
    <w:autoRedefine/>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677</Words>
  <Characters>3865</Characters>
  <Lines>32</Lines>
  <Paragraphs>9</Paragraphs>
  <TotalTime>96</TotalTime>
  <ScaleCrop>false</ScaleCrop>
  <LinksUpToDate>false</LinksUpToDate>
  <CharactersWithSpaces>4533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zhaoxiang</dc:creator>
  <cp:lastModifiedBy>Mr.翔</cp:lastModifiedBy>
  <dcterms:modified xsi:type="dcterms:W3CDTF">2023-12-20T07:58:21Z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A88CD66FB7AA4E0F9157DC639C6CF284</vt:lpwstr>
  </property>
</Properties>
</file>