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-2147483648" w:line="360" w:lineRule="auto"/>
        <w:ind w:firstLine="367" w:firstLineChars="175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 xml:space="preserve">股票代码：002871             股票简称:伟隆股份      </w:t>
      </w:r>
      <w:r>
        <w:rPr>
          <w:rFonts w:hint="default" w:ascii="宋体" w:hAnsi="宋体" w:cs="宋体"/>
          <w:highlight w:val="none"/>
          <w:lang w:val="en-US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     公告编号：2024-0</w:t>
      </w:r>
      <w:r>
        <w:rPr>
          <w:rFonts w:hint="eastAsia" w:ascii="宋体" w:hAnsi="宋体" w:cs="宋体"/>
          <w:highlight w:val="none"/>
          <w:lang w:val="en-US" w:eastAsia="zh-CN"/>
        </w:rPr>
        <w:t>17</w:t>
      </w:r>
    </w:p>
    <w:p>
      <w:pPr>
        <w:spacing w:after="0" w:afterLines="-2147483648" w:line="360" w:lineRule="auto"/>
        <w:ind w:firstLine="368"/>
        <w:jc w:val="center"/>
        <w:rPr>
          <w:rFonts w:hint="eastAsia"/>
          <w:b/>
          <w:bCs/>
          <w:sz w:val="24"/>
          <w:szCs w:val="32"/>
          <w:highlight w:val="none"/>
        </w:rPr>
      </w:pPr>
    </w:p>
    <w:p>
      <w:pPr>
        <w:spacing w:after="0" w:afterLines="-2147483648" w:line="360" w:lineRule="auto"/>
        <w:ind w:firstLine="368"/>
        <w:jc w:val="center"/>
        <w:rPr>
          <w:b/>
          <w:bCs/>
          <w:sz w:val="24"/>
          <w:szCs w:val="32"/>
          <w:highlight w:val="none"/>
        </w:rPr>
      </w:pPr>
      <w:r>
        <w:rPr>
          <w:rFonts w:hint="eastAsia"/>
          <w:b/>
          <w:bCs/>
          <w:sz w:val="24"/>
          <w:szCs w:val="32"/>
          <w:highlight w:val="none"/>
        </w:rPr>
        <w:t>青岛伟隆阀门股份有限公司</w:t>
      </w:r>
    </w:p>
    <w:p>
      <w:pPr>
        <w:spacing w:before="120" w:after="120"/>
        <w:ind w:firstLine="560"/>
        <w:jc w:val="center"/>
        <w:rPr>
          <w:rFonts w:hint="eastAsia"/>
          <w:b/>
          <w:bCs/>
          <w:sz w:val="24"/>
          <w:szCs w:val="32"/>
          <w:highlight w:val="none"/>
        </w:rPr>
      </w:pPr>
      <w:r>
        <w:rPr>
          <w:rFonts w:hint="eastAsia"/>
          <w:b/>
          <w:bCs/>
          <w:sz w:val="24"/>
          <w:szCs w:val="32"/>
          <w:highlight w:val="none"/>
        </w:rPr>
        <w:t>关于增资境外全资子公司并对外投资设立境外</w:t>
      </w: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全资子</w:t>
      </w:r>
      <w:r>
        <w:rPr>
          <w:rFonts w:hint="eastAsia"/>
          <w:b/>
          <w:bCs/>
          <w:sz w:val="24"/>
          <w:szCs w:val="32"/>
          <w:highlight w:val="none"/>
        </w:rPr>
        <w:t>公司的公告</w:t>
      </w:r>
    </w:p>
    <w:p>
      <w:pPr>
        <w:pStyle w:val="9"/>
        <w:spacing w:after="156" w:afterLines="50"/>
        <w:rPr>
          <w:rFonts w:hAnsi="宋体"/>
          <w:color w:val="auto"/>
          <w:sz w:val="23"/>
          <w:szCs w:val="23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19" w:type="dxa"/>
          </w:tcPr>
          <w:p>
            <w:pPr>
              <w:pStyle w:val="9"/>
              <w:spacing w:after="156" w:afterLines="50"/>
              <w:ind w:left="-2" w:leftChars="-1" w:right="-218" w:rightChars="-104" w:firstLine="475" w:firstLineChars="198"/>
              <w:rPr>
                <w:rFonts w:hAnsi="宋体"/>
                <w:bCs/>
                <w:color w:val="auto"/>
                <w:highlight w:val="none"/>
              </w:rPr>
            </w:pPr>
            <w:r>
              <w:rPr>
                <w:rFonts w:hint="eastAsia" w:hAnsi="宋体"/>
                <w:bCs/>
                <w:color w:val="auto"/>
                <w:highlight w:val="none"/>
              </w:rPr>
              <w:t xml:space="preserve">本公司及董事会全体成员保证信息披露的内容真实、准确、完整，没有虚假记载、误导性陈述或重大遗漏。 </w:t>
            </w:r>
          </w:p>
        </w:tc>
      </w:tr>
    </w:tbl>
    <w:p>
      <w:pPr>
        <w:pStyle w:val="9"/>
        <w:spacing w:after="156" w:afterLines="5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 xml:space="preserve"> </w:t>
      </w:r>
    </w:p>
    <w:p>
      <w:pPr>
        <w:spacing w:before="0" w:after="0" w:line="360" w:lineRule="auto"/>
        <w:ind w:firstLine="368"/>
        <w:rPr>
          <w:highlight w:val="none"/>
        </w:rPr>
      </w:pPr>
      <w:r>
        <w:rPr>
          <w:rFonts w:hint="eastAsia"/>
          <w:highlight w:val="none"/>
        </w:rPr>
        <w:t>特别提示：</w:t>
      </w:r>
    </w:p>
    <w:p>
      <w:pPr>
        <w:pStyle w:val="2"/>
        <w:numPr>
          <w:ilvl w:val="0"/>
          <w:numId w:val="1"/>
        </w:numPr>
        <w:spacing w:before="120" w:after="120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青岛伟隆阀门股份有限公司（以下简称“公司”）拟以现金向全资子公司伟隆（香港）实业有限公司（以下简称“香港伟隆”）增资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1,400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万美元，同时，香港伟隆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拟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出资1,400万美元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设立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全资子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公司——伟隆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有限公司(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WEFLO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Thailand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Ltd.)（以下简称“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泰国子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公司”）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全资子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公司名称最终以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工商部门核准登记名称为准）。股东香港伟隆持有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泰国子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公司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%股权。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泰国子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公司设立后将成为香港伟隆控股子公司并纳入公司合并报表范围。</w:t>
      </w:r>
    </w:p>
    <w:p>
      <w:pPr>
        <w:pStyle w:val="2"/>
        <w:numPr>
          <w:ilvl w:val="0"/>
          <w:numId w:val="1"/>
        </w:numPr>
        <w:spacing w:before="120" w:after="120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本次交易不构成关联交易，亦不构成《上市公司重大资产重组管理办法》 规定的重大资产重组。</w:t>
      </w:r>
    </w:p>
    <w:p>
      <w:pPr>
        <w:pStyle w:val="2"/>
        <w:numPr>
          <w:ilvl w:val="0"/>
          <w:numId w:val="1"/>
        </w:numPr>
        <w:spacing w:before="120" w:after="120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根据《深圳证券交易所股票上市规则》和《公司章程》相关规定，本次交易在董事会的权限范围内，无需提交股东大会审议。</w:t>
      </w:r>
    </w:p>
    <w:p>
      <w:pPr>
        <w:pStyle w:val="10"/>
        <w:numPr>
          <w:ilvl w:val="0"/>
          <w:numId w:val="2"/>
        </w:numPr>
        <w:ind w:firstLine="368" w:firstLineChars="0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对外投资概述</w:t>
      </w:r>
      <w:bookmarkStart w:id="0" w:name="_GoBack"/>
      <w:bookmarkEnd w:id="0"/>
    </w:p>
    <w:p>
      <w:pPr>
        <w:spacing w:before="120" w:after="120" w:line="480" w:lineRule="exact"/>
        <w:ind w:firstLine="480"/>
        <w:jc w:val="left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公司于202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日召开第四届董事会第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三十二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次会议，审议通过了《关于增资境外全资子公司并对外投资设立境外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全资子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公司的议案》，同意公司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拟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以现金向全资子公司香港伟隆增资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1,400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万美元，同时香港伟隆出资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1,400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万美元或其他等值货币（折合约10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07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万元人民币或50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596万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泰铢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在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设立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  <w:lang w:val="en-US" w:eastAsia="zh-CN"/>
        </w:rPr>
        <w:t>全资子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公司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股东香港伟隆持有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  <w:lang w:val="en-US" w:eastAsia="zh-CN"/>
        </w:rPr>
        <w:t>泰国子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公司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%的股权。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  <w:lang w:val="en-US" w:eastAsia="zh-CN"/>
        </w:rPr>
        <w:t>泰国子</w:t>
      </w:r>
      <w:r>
        <w:rPr>
          <w:rFonts w:hint="eastAsia" w:ascii="宋体" w:hAnsi="宋体" w:eastAsia="宋体" w:cs="宋体"/>
          <w:bCs/>
          <w:sz w:val="22"/>
          <w:szCs w:val="22"/>
          <w:highlight w:val="none"/>
        </w:rPr>
        <w:t>公司设立后将成为香港伟隆控股子公司并纳入公司合并报表范围。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本次交易不属于关联交易和重大资产重组事项，在公司董事会决策权限范围内，无需提交股东大会审议批准。</w:t>
      </w:r>
    </w:p>
    <w:p>
      <w:pPr>
        <w:pStyle w:val="10"/>
        <w:numPr>
          <w:ilvl w:val="0"/>
          <w:numId w:val="2"/>
        </w:numPr>
        <w:ind w:firstLine="368" w:firstLineChars="0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增资对象的基本情况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（一）香港伟隆的基本信息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公司名称</w:t>
            </w:r>
          </w:p>
        </w:tc>
        <w:tc>
          <w:tcPr>
            <w:tcW w:w="6287" w:type="dxa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伟隆（香港）实业有限公司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6287" w:type="dxa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2020年3月17日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住所</w:t>
            </w:r>
          </w:p>
        </w:tc>
        <w:tc>
          <w:tcPr>
            <w:tcW w:w="6287" w:type="dxa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香港湾仔湾仔道165-171号乐基中心4楼413室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6287" w:type="dxa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股东及持股比例</w:t>
            </w:r>
          </w:p>
        </w:tc>
        <w:tc>
          <w:tcPr>
            <w:tcW w:w="6287" w:type="dxa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公司持有100%的股权</w:t>
            </w:r>
          </w:p>
        </w:tc>
      </w:tr>
    </w:tbl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（二）资金来源：公司自有资金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（三）最近一期主要财务数据(经审计)：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截至2023年9月30日，资产总额143,118元美元；负债总额0元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美元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；资产净额143,118元美元；营业收入110,000元美元；净利润94,590元美元。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（四）增资完成后，香港伟隆仍为公司的全资子公司。</w:t>
      </w:r>
    </w:p>
    <w:p>
      <w:pPr>
        <w:pStyle w:val="10"/>
        <w:numPr>
          <w:ilvl w:val="0"/>
          <w:numId w:val="2"/>
        </w:numPr>
        <w:ind w:firstLine="368" w:firstLineChars="0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子公司基本情况</w:t>
      </w:r>
    </w:p>
    <w:p>
      <w:pPr>
        <w:pStyle w:val="2"/>
        <w:numPr>
          <w:ilvl w:val="0"/>
          <w:numId w:val="3"/>
        </w:numPr>
        <w:spacing w:line="360" w:lineRule="auto"/>
        <w:ind w:firstLine="420" w:firstLineChars="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基本情况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1、公司名称：伟隆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有限公司（暂定名，最终以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工商管理部门核准登记名称为准）； </w:t>
      </w:r>
    </w:p>
    <w:p>
      <w:pPr>
        <w:pStyle w:val="9"/>
        <w:spacing w:before="120" w:after="120" w:line="360" w:lineRule="auto"/>
        <w:ind w:firstLine="385" w:firstLineChars="175"/>
        <w:jc w:val="both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英文名称：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WEFLO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Thailand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Ltd.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2、注册资本：1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,000,000.00美元或其他等值货币（折合约10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07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万元人民币或50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596万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泰铢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）； 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3、公司性质：有限公司； 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4、注册地址：泰国春武里或罗勇府（具体地址以实际确定为准）； 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5、业务范围：消防设备制造、消防技术服务、阀门和电子连接件制造、发送控制信号的防盗及火灾警报器制造水龙头、阀门和其他类似装置制造、阀门的维修和保养、消防器材批发，贸易（具体以实际确定为准）。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6、出资方式、出资比例及资金来源：香港伟隆以自有资金出资1,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00万美元或其他等值货币（折合约10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07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万元人民币或50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596万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泰铢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持有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子公司股权100%。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以上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子公司基本情况为暂定内容，最终以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工商管理部门核准登记内容为准。</w:t>
      </w:r>
    </w:p>
    <w:p>
      <w:pPr>
        <w:pStyle w:val="2"/>
        <w:numPr>
          <w:ilvl w:val="0"/>
          <w:numId w:val="3"/>
        </w:numPr>
        <w:spacing w:line="360" w:lineRule="auto"/>
        <w:ind w:firstLine="420" w:firstLineChars="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子公司设立后的股权结构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346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股东名称</w:t>
            </w:r>
          </w:p>
        </w:tc>
        <w:tc>
          <w:tcPr>
            <w:tcW w:w="2549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认缴出资额(美元)</w:t>
            </w:r>
          </w:p>
        </w:tc>
        <w:tc>
          <w:tcPr>
            <w:tcW w:w="1513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持股比例(%)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香港伟隆</w:t>
            </w:r>
          </w:p>
        </w:tc>
        <w:tc>
          <w:tcPr>
            <w:tcW w:w="2549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,000,000.00</w:t>
            </w:r>
          </w:p>
        </w:tc>
        <w:tc>
          <w:tcPr>
            <w:tcW w:w="1513" w:type="pct"/>
          </w:tcPr>
          <w:p>
            <w:pPr>
              <w:pStyle w:val="2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</w:t>
            </w:r>
          </w:p>
        </w:tc>
      </w:tr>
    </w:tbl>
    <w:p>
      <w:pPr>
        <w:pStyle w:val="10"/>
        <w:numPr>
          <w:ilvl w:val="0"/>
          <w:numId w:val="2"/>
        </w:numPr>
        <w:ind w:firstLine="368" w:firstLineChars="0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本次交易的目的、存在的风险和对公司的影响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（一）交易的目的和对公司的影响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为响应“一带一路”倡议，拓展公司在国际化市场份额，完善公司的市场布局及中长期发展战略。公司决定设立全资子公司伟隆泰国有限公司，可以充分利用泰国的区位及资源优势及公司本身技术优势，积极布局境外产能，以灵活应对复杂多变的国际贸易环境，辐射亚洲及欧美市场，推动公司在国际化市场的业务发展，保持公司的国际市场竞争力。</w:t>
      </w:r>
    </w:p>
    <w:p>
      <w:pPr>
        <w:spacing w:line="360" w:lineRule="auto"/>
        <w:ind w:firstLine="385" w:firstLineChars="1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本次增资及对外投资的资金来源于公司及子公司的自有资金，不会对公司及子公司的财务状况和经营情况产生重大影响，不存在损害公司及股东利益的情形。此次新设立的子公司将纳入公司合并报表范围，其运营情况可能对公司未来财务状况产生一定影响。敬请广大投资者注意投资风险。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（二）存在的风险</w:t>
      </w:r>
    </w:p>
    <w:p>
      <w:pPr>
        <w:pStyle w:val="2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因香港特别行政区和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的法律、政策体系、商业环境、财务会计准则和税务制度与中国存在一定差异，公司本次增资及在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泰国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投资设立子公司面临一定的经营风险与管理风险。公司本次对外投资尚需有关部门的审批或备案，项目实施存在一定的不确定性。公司将严格按照相关规定，加强管理和风险控制，积极应对和防范各类风险。</w:t>
      </w:r>
    </w:p>
    <w:p>
      <w:pPr>
        <w:pStyle w:val="10"/>
        <w:numPr>
          <w:ilvl w:val="0"/>
          <w:numId w:val="2"/>
        </w:numPr>
        <w:ind w:firstLine="368" w:firstLineChars="0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备查文件</w:t>
      </w:r>
    </w:p>
    <w:p>
      <w:pPr>
        <w:pStyle w:val="10"/>
        <w:numPr>
          <w:ilvl w:val="0"/>
          <w:numId w:val="4"/>
        </w:numPr>
        <w:ind w:firstLine="368" w:firstLineChars="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《青岛伟隆阀门股份有限公司第四届董事会第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三十二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次会议决议》；</w:t>
      </w:r>
    </w:p>
    <w:p>
      <w:pPr>
        <w:spacing w:before="0" w:after="0" w:line="360" w:lineRule="auto"/>
        <w:ind w:firstLine="368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特此公告。</w:t>
      </w:r>
    </w:p>
    <w:p>
      <w:pPr>
        <w:wordWrap/>
        <w:spacing w:after="0" w:afterLines="-2147483648" w:line="360" w:lineRule="auto"/>
        <w:ind w:firstLine="5005" w:firstLineChars="22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青岛伟隆阀门股份有限公司董事会</w:t>
      </w:r>
    </w:p>
    <w:p>
      <w:pPr>
        <w:wordWrap/>
        <w:spacing w:after="0" w:afterLines="-2147483648" w:line="360" w:lineRule="auto"/>
        <w:ind w:firstLine="5885" w:firstLineChars="267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2024年02月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日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7"/>
      </w:pPr>
      <w:r>
        <w:separator/>
      </w:r>
    </w:p>
  </w:endnote>
  <w:endnote w:type="continuationSeparator" w:id="1">
    <w:p>
      <w:pPr>
        <w:spacing w:line="240" w:lineRule="auto"/>
        <w:ind w:firstLin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firstLine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firstLine="3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67"/>
      </w:pPr>
      <w:r>
        <w:separator/>
      </w:r>
    </w:p>
  </w:footnote>
  <w:footnote w:type="continuationSeparator" w:id="1">
    <w:p>
      <w:pPr>
        <w:spacing w:line="360" w:lineRule="auto"/>
        <w:ind w:firstLine="3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0135F"/>
    <w:multiLevelType w:val="singleLevel"/>
    <w:tmpl w:val="FCC013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185985"/>
    <w:multiLevelType w:val="singleLevel"/>
    <w:tmpl w:val="0B1859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320A8B6"/>
    <w:multiLevelType w:val="singleLevel"/>
    <w:tmpl w:val="4320A8B6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6B3C3C20"/>
    <w:multiLevelType w:val="singleLevel"/>
    <w:tmpl w:val="6B3C3C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wNzkzYTg0MzhhYmIxYTgwNmNhNDYxODQzNjMifQ=="/>
  </w:docVars>
  <w:rsids>
    <w:rsidRoot w:val="61173083"/>
    <w:rsid w:val="10002775"/>
    <w:rsid w:val="16ED26DB"/>
    <w:rsid w:val="17C11DC9"/>
    <w:rsid w:val="211624D5"/>
    <w:rsid w:val="36B64A44"/>
    <w:rsid w:val="382155DA"/>
    <w:rsid w:val="42A54F24"/>
    <w:rsid w:val="430F244F"/>
    <w:rsid w:val="478E3ED1"/>
    <w:rsid w:val="587E7553"/>
    <w:rsid w:val="593F5761"/>
    <w:rsid w:val="61173083"/>
    <w:rsid w:val="67E11B13"/>
    <w:rsid w:val="773A0C00"/>
    <w:rsid w:val="77B64FF5"/>
    <w:rsid w:val="7AE70D64"/>
    <w:rsid w:val="7B3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368" w:firstLineChars="175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120" w:after="120"/>
      <w:ind w:firstLine="420" w:firstLineChars="200"/>
    </w:pPr>
    <w:rPr>
      <w:rFonts w:hAnsi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315"/>
      <w:jc w:val="center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2024-02-07T02:16:00Z</dcterms:created>
  <dc:creator>李易煊</dc:creator>
  <cp:lastModifiedBy>Mr.翔</cp:lastModifiedBy>
  <cp:lastPrinted>2024-02-07T07:11:00Z</cp:lastPrinted>
  <dcterms:modified xsi:type="dcterms:W3CDTF">2024-02-21T07:16:42Z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1B38FC4C199244E2AB0540467506F85C_13</vt:lpwstr>
  </property>
</Properties>
</file>