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spacing w:line="360" w:lineRule="auto"/>
        <w:jc w:val="center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证券代码：002871</w:t>
      </w:r>
      <w:r>
        <w:rPr>
          <w:rFonts w:ascii="宋体" w:hAnsi="宋体"/>
          <w:sz w:val="24"/>
          <w:highlight w:val="none"/>
        </w:rPr>
        <w:t xml:space="preserve">        </w:t>
      </w:r>
      <w:r>
        <w:rPr>
          <w:rFonts w:hint="eastAsia" w:ascii="宋体" w:hAnsi="宋体"/>
          <w:sz w:val="24"/>
          <w:highlight w:val="none"/>
        </w:rPr>
        <w:t>证券简称：伟隆股份</w:t>
      </w:r>
      <w:r>
        <w:rPr>
          <w:rFonts w:ascii="宋体" w:hAnsi="宋体"/>
          <w:sz w:val="24"/>
          <w:highlight w:val="none"/>
        </w:rPr>
        <w:t xml:space="preserve">       </w:t>
      </w:r>
      <w:r>
        <w:rPr>
          <w:rFonts w:hint="eastAsia" w:ascii="宋体" w:hAnsi="宋体"/>
          <w:sz w:val="24"/>
          <w:highlight w:val="none"/>
        </w:rPr>
        <w:t>公告编号：</w:t>
      </w:r>
      <w:r>
        <w:rPr>
          <w:rFonts w:hint="eastAsia" w:ascii="宋体" w:hAnsi="宋体"/>
          <w:sz w:val="24"/>
          <w:highlight w:val="none"/>
        </w:rPr>
        <w:t>2024-019</w:t>
      </w:r>
    </w:p>
    <w:p>
      <w:pPr>
        <w:spacing w:line="480" w:lineRule="exact"/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ascii="黑体" w:hAnsi="宋体" w:eastAsia="黑体"/>
          <w:b/>
          <w:bCs/>
          <w:sz w:val="30"/>
          <w:szCs w:val="30"/>
        </w:rPr>
        <w:t>青岛伟隆阀门</w:t>
      </w:r>
      <w:r>
        <w:rPr>
          <w:rFonts w:hint="eastAsia" w:ascii="黑体" w:hAnsi="宋体" w:eastAsia="黑体"/>
          <w:b/>
          <w:bCs/>
          <w:sz w:val="30"/>
          <w:szCs w:val="30"/>
        </w:rPr>
        <w:t>股份有限公司</w:t>
      </w:r>
    </w:p>
    <w:p>
      <w:pPr>
        <w:spacing w:line="480" w:lineRule="exact"/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关于第四届监事会第二十五次</w:t>
      </w:r>
      <w:r>
        <w:rPr>
          <w:rFonts w:ascii="黑体" w:hAnsi="宋体" w:eastAsia="黑体"/>
          <w:b/>
          <w:bCs/>
          <w:sz w:val="30"/>
          <w:szCs w:val="30"/>
        </w:rPr>
        <w:t>会议</w:t>
      </w:r>
      <w:r>
        <w:rPr>
          <w:rFonts w:hint="eastAsia" w:ascii="黑体" w:hAnsi="宋体" w:eastAsia="黑体"/>
          <w:b/>
          <w:bCs/>
          <w:sz w:val="30"/>
          <w:szCs w:val="30"/>
        </w:rPr>
        <w:t xml:space="preserve">决议的公告 </w:t>
      </w:r>
    </w:p>
    <w:p>
      <w:pPr>
        <w:spacing w:line="480" w:lineRule="exact"/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本公司及监事会全体成员保证信息披露内容的真实、准确和完整，没有虚假记载、误导性陈述或重大遗漏。</w:t>
            </w:r>
          </w:p>
        </w:tc>
      </w:tr>
    </w:tbl>
    <w:p>
      <w:pPr>
        <w:adjustRightInd w:val="0"/>
        <w:spacing w:line="360" w:lineRule="auto"/>
        <w:ind w:firstLine="570"/>
        <w:rPr>
          <w:rFonts w:hint="eastAsia" w:ascii="宋体" w:hAnsi="宋体"/>
          <w:b/>
          <w:color w:val="000000"/>
          <w:sz w:val="24"/>
        </w:rPr>
      </w:pPr>
    </w:p>
    <w:p>
      <w:pPr>
        <w:spacing w:before="156" w:beforeLines="50" w:after="156" w:afterLines="50" w:line="360" w:lineRule="auto"/>
        <w:ind w:firstLine="570"/>
        <w:rPr>
          <w:rFonts w:ascii="宋体" w:hAnsi="宋体"/>
          <w:b/>
          <w:sz w:val="24"/>
          <w:szCs w:val="23"/>
        </w:rPr>
      </w:pPr>
      <w:r>
        <w:rPr>
          <w:rFonts w:hint="eastAsia" w:ascii="宋体" w:hAnsi="宋体"/>
          <w:b/>
          <w:sz w:val="24"/>
          <w:szCs w:val="23"/>
        </w:rPr>
        <w:t>一、监事会会议召开情况</w:t>
      </w:r>
    </w:p>
    <w:p>
      <w:pPr>
        <w:pStyle w:val="21"/>
        <w:spacing w:line="480" w:lineRule="auto"/>
        <w:ind w:firstLine="480" w:firstLineChars="200"/>
        <w:rPr>
          <w:rFonts w:hint="eastAsia"/>
          <w:sz w:val="24"/>
          <w:szCs w:val="23"/>
        </w:rPr>
      </w:pPr>
      <w:r>
        <w:rPr>
          <w:rFonts w:hint="eastAsia"/>
          <w:sz w:val="24"/>
          <w:szCs w:val="23"/>
        </w:rPr>
        <w:t>青岛伟隆阀门股份有限公司（以下称“公司”）第四届监事会第二十五次会议通知于2024年</w:t>
      </w:r>
      <w:r>
        <w:rPr>
          <w:sz w:val="24"/>
          <w:szCs w:val="23"/>
        </w:rPr>
        <w:t>2</w:t>
      </w:r>
      <w:r>
        <w:rPr>
          <w:rFonts w:hint="eastAsia"/>
          <w:sz w:val="24"/>
          <w:szCs w:val="23"/>
        </w:rPr>
        <w:t>月23日通过专人送达、电子邮件等方式送达给监事和高级管理人员。会议于2024年</w:t>
      </w:r>
      <w:r>
        <w:rPr>
          <w:sz w:val="24"/>
          <w:szCs w:val="23"/>
        </w:rPr>
        <w:t>2</w:t>
      </w:r>
      <w:r>
        <w:rPr>
          <w:rFonts w:hint="eastAsia"/>
          <w:sz w:val="24"/>
          <w:szCs w:val="23"/>
        </w:rPr>
        <w:t>月2</w:t>
      </w:r>
      <w:r>
        <w:rPr>
          <w:sz w:val="24"/>
          <w:szCs w:val="23"/>
        </w:rPr>
        <w:t>8</w:t>
      </w:r>
      <w:r>
        <w:rPr>
          <w:rFonts w:hint="eastAsia"/>
          <w:sz w:val="24"/>
          <w:szCs w:val="23"/>
        </w:rPr>
        <w:t>日</w:t>
      </w:r>
      <w:bookmarkStart w:id="0" w:name="_GoBack"/>
      <w:bookmarkEnd w:id="0"/>
      <w:r>
        <w:rPr>
          <w:rFonts w:hint="eastAsia"/>
          <w:sz w:val="24"/>
          <w:szCs w:val="23"/>
        </w:rPr>
        <w:t>在公司会议室以现场方式召开。本次会议应到监事3名，实到3名。会议由监事会主席于春红女士召集和主持。会议的召集、召开及表决程序符合《中华人民共和国公司法》及《青岛伟隆阀门股份有限公司章程》的规定，合法有效。</w:t>
      </w:r>
    </w:p>
    <w:p>
      <w:pPr>
        <w:adjustRightInd w:val="0"/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二、监事会会议审议情况</w:t>
      </w:r>
    </w:p>
    <w:p>
      <w:pPr>
        <w:pStyle w:val="21"/>
        <w:spacing w:line="480" w:lineRule="auto"/>
        <w:ind w:firstLine="480" w:firstLineChars="200"/>
        <w:rPr>
          <w:rFonts w:hint="eastAsia"/>
          <w:sz w:val="24"/>
          <w:szCs w:val="23"/>
        </w:rPr>
      </w:pPr>
      <w:r>
        <w:rPr>
          <w:rFonts w:hint="eastAsia"/>
          <w:sz w:val="24"/>
          <w:szCs w:val="23"/>
        </w:rPr>
        <w:t>经与会监事充分的讨论和审议本次会议议案并表决，形成如下决议：</w:t>
      </w:r>
    </w:p>
    <w:p>
      <w:pPr>
        <w:spacing w:line="480" w:lineRule="exact"/>
        <w:ind w:firstLine="422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szCs w:val="23"/>
        </w:rPr>
        <w:t>（一）</w:t>
      </w:r>
      <w:r>
        <w:rPr>
          <w:rFonts w:ascii="宋体" w:hAnsi="宋体"/>
          <w:b/>
          <w:sz w:val="24"/>
        </w:rPr>
        <w:t>审议通过</w:t>
      </w:r>
      <w:r>
        <w:rPr>
          <w:b/>
          <w:bCs/>
          <w:kern w:val="0"/>
          <w:szCs w:val="23"/>
        </w:rPr>
        <w:t>《</w:t>
      </w:r>
      <w:r>
        <w:rPr>
          <w:rFonts w:hint="eastAsia"/>
          <w:b/>
          <w:bCs/>
          <w:kern w:val="0"/>
          <w:sz w:val="24"/>
          <w:szCs w:val="23"/>
        </w:rPr>
        <w:t>关于选举公司第五届监事会非职工代表监事候选人的议案</w:t>
      </w:r>
      <w:r>
        <w:rPr>
          <w:b/>
          <w:bCs/>
          <w:kern w:val="0"/>
          <w:szCs w:val="23"/>
        </w:rPr>
        <w:t>》</w:t>
      </w:r>
    </w:p>
    <w:p>
      <w:pPr>
        <w:pStyle w:val="21"/>
        <w:spacing w:line="480" w:lineRule="auto"/>
        <w:ind w:firstLine="480" w:firstLineChars="200"/>
        <w:rPr>
          <w:rFonts w:hint="eastAsia"/>
          <w:sz w:val="24"/>
          <w:szCs w:val="23"/>
        </w:rPr>
      </w:pPr>
      <w:r>
        <w:rPr>
          <w:rFonts w:hint="eastAsia"/>
          <w:sz w:val="24"/>
          <w:szCs w:val="23"/>
        </w:rPr>
        <w:t>鉴于</w:t>
      </w:r>
      <w:r>
        <w:rPr>
          <w:sz w:val="24"/>
          <w:szCs w:val="23"/>
        </w:rPr>
        <w:t>公司第</w:t>
      </w:r>
      <w:r>
        <w:rPr>
          <w:rFonts w:hint="eastAsia"/>
          <w:sz w:val="24"/>
          <w:szCs w:val="23"/>
        </w:rPr>
        <w:t>四</w:t>
      </w:r>
      <w:r>
        <w:rPr>
          <w:sz w:val="24"/>
          <w:szCs w:val="23"/>
        </w:rPr>
        <w:t>届监事会任期</w:t>
      </w:r>
      <w:r>
        <w:rPr>
          <w:rFonts w:hint="eastAsia"/>
          <w:sz w:val="24"/>
          <w:szCs w:val="23"/>
        </w:rPr>
        <w:t>即将</w:t>
      </w:r>
      <w:r>
        <w:rPr>
          <w:sz w:val="24"/>
          <w:szCs w:val="23"/>
        </w:rPr>
        <w:t>届满</w:t>
      </w:r>
      <w:r>
        <w:rPr>
          <w:rFonts w:hint="eastAsia"/>
          <w:sz w:val="24"/>
          <w:szCs w:val="23"/>
        </w:rPr>
        <w:t>，</w:t>
      </w:r>
      <w:r>
        <w:rPr>
          <w:sz w:val="24"/>
          <w:szCs w:val="23"/>
        </w:rPr>
        <w:t>根据《公司法》、《公司章程》、《监事会议事规则》的有关规定，</w:t>
      </w:r>
      <w:r>
        <w:rPr>
          <w:rFonts w:hint="eastAsia"/>
          <w:sz w:val="24"/>
          <w:szCs w:val="23"/>
        </w:rPr>
        <w:t>公司监事会提名张涛先生、郭峰女士为公司第五届监事会监事候选人。</w:t>
      </w:r>
    </w:p>
    <w:p>
      <w:pPr>
        <w:pStyle w:val="21"/>
        <w:spacing w:line="480" w:lineRule="auto"/>
        <w:ind w:firstLine="480" w:firstLineChars="200"/>
        <w:rPr>
          <w:rFonts w:hint="eastAsia"/>
          <w:sz w:val="24"/>
          <w:szCs w:val="23"/>
        </w:rPr>
      </w:pPr>
      <w:r>
        <w:rPr>
          <w:sz w:val="24"/>
          <w:szCs w:val="23"/>
        </w:rPr>
        <w:t>本议案尚需提交公司20</w:t>
      </w:r>
      <w:r>
        <w:rPr>
          <w:rFonts w:hint="eastAsia"/>
          <w:sz w:val="24"/>
          <w:szCs w:val="23"/>
        </w:rPr>
        <w:t>24</w:t>
      </w:r>
      <w:r>
        <w:rPr>
          <w:sz w:val="24"/>
          <w:szCs w:val="23"/>
        </w:rPr>
        <w:t>年第</w:t>
      </w:r>
      <w:r>
        <w:rPr>
          <w:rFonts w:hint="eastAsia"/>
          <w:sz w:val="24"/>
          <w:szCs w:val="23"/>
        </w:rPr>
        <w:t>二</w:t>
      </w:r>
      <w:r>
        <w:rPr>
          <w:sz w:val="24"/>
          <w:szCs w:val="23"/>
        </w:rPr>
        <w:t>次临时股东大会审议，</w:t>
      </w:r>
      <w:r>
        <w:rPr>
          <w:rFonts w:hint="eastAsia"/>
          <w:sz w:val="24"/>
          <w:szCs w:val="23"/>
        </w:rPr>
        <w:t>并采用</w:t>
      </w:r>
      <w:r>
        <w:rPr>
          <w:sz w:val="24"/>
          <w:szCs w:val="23"/>
        </w:rPr>
        <w:t>累积投票制</w:t>
      </w:r>
      <w:r>
        <w:rPr>
          <w:rFonts w:hint="eastAsia"/>
          <w:sz w:val="24"/>
          <w:szCs w:val="23"/>
        </w:rPr>
        <w:t>进行逐项表决。</w:t>
      </w:r>
      <w:r>
        <w:rPr>
          <w:sz w:val="24"/>
          <w:szCs w:val="23"/>
        </w:rPr>
        <w:t>上述监事候选人经股东大会选举通过后，将与公司职工代表大会选举产生的职工代表监事共同组成公司第</w:t>
      </w:r>
      <w:r>
        <w:rPr>
          <w:rFonts w:hint="eastAsia"/>
          <w:sz w:val="24"/>
          <w:szCs w:val="23"/>
        </w:rPr>
        <w:t>五</w:t>
      </w:r>
      <w:r>
        <w:rPr>
          <w:sz w:val="24"/>
          <w:szCs w:val="23"/>
        </w:rPr>
        <w:t>届监事会。任期为股东大会审议通过之日起三年。</w:t>
      </w:r>
    </w:p>
    <w:p>
      <w:pPr>
        <w:pStyle w:val="21"/>
        <w:spacing w:line="480" w:lineRule="auto"/>
        <w:ind w:firstLine="480" w:firstLineChars="200"/>
        <w:rPr>
          <w:sz w:val="24"/>
          <w:szCs w:val="23"/>
        </w:rPr>
      </w:pPr>
      <w:r>
        <w:rPr>
          <w:rFonts w:hint="eastAsia"/>
          <w:sz w:val="24"/>
          <w:szCs w:val="23"/>
        </w:rPr>
        <w:t>具体内容</w:t>
      </w:r>
      <w:r>
        <w:rPr>
          <w:sz w:val="24"/>
          <w:szCs w:val="23"/>
        </w:rPr>
        <w:t>详见同</w:t>
      </w:r>
      <w:r>
        <w:rPr>
          <w:rFonts w:hint="eastAsia"/>
          <w:sz w:val="24"/>
          <w:szCs w:val="23"/>
        </w:rPr>
        <w:t>日</w:t>
      </w:r>
      <w:r>
        <w:rPr>
          <w:sz w:val="24"/>
          <w:szCs w:val="23"/>
        </w:rPr>
        <w:t>刊登于巨潮资讯网（www.cninfo.com.cn）、《证券时报》《证券日报》及《中国证券报</w:t>
      </w:r>
      <w:r>
        <w:rPr>
          <w:sz w:val="24"/>
          <w:szCs w:val="23"/>
          <w:highlight w:val="none"/>
        </w:rPr>
        <w:t>》上披露的《</w:t>
      </w:r>
      <w:r>
        <w:rPr>
          <w:rFonts w:hint="eastAsia"/>
          <w:sz w:val="24"/>
          <w:szCs w:val="23"/>
          <w:highlight w:val="none"/>
        </w:rPr>
        <w:t>青岛伟隆阀门</w:t>
      </w:r>
      <w:r>
        <w:rPr>
          <w:sz w:val="24"/>
          <w:szCs w:val="23"/>
          <w:highlight w:val="none"/>
        </w:rPr>
        <w:t>股份有限公司关于监事会换届选举的公告》</w:t>
      </w:r>
      <w:r>
        <w:rPr>
          <w:rFonts w:hint="eastAsia"/>
          <w:sz w:val="24"/>
          <w:szCs w:val="23"/>
          <w:highlight w:val="none"/>
        </w:rPr>
        <w:t>（公告编号</w:t>
      </w:r>
      <w:r>
        <w:rPr>
          <w:rFonts w:hint="eastAsia"/>
          <w:sz w:val="24"/>
          <w:szCs w:val="23"/>
        </w:rPr>
        <w:t>：2</w:t>
      </w:r>
      <w:r>
        <w:rPr>
          <w:sz w:val="24"/>
          <w:szCs w:val="23"/>
        </w:rPr>
        <w:t>024-021</w:t>
      </w:r>
      <w:r>
        <w:rPr>
          <w:rFonts w:hint="eastAsia"/>
          <w:sz w:val="24"/>
          <w:szCs w:val="23"/>
        </w:rPr>
        <w:t>）</w:t>
      </w:r>
      <w:r>
        <w:rPr>
          <w:sz w:val="24"/>
          <w:szCs w:val="23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三、备查文件</w:t>
      </w:r>
    </w:p>
    <w:p>
      <w:pPr>
        <w:pStyle w:val="21"/>
        <w:spacing w:line="480" w:lineRule="auto"/>
        <w:ind w:firstLine="480" w:firstLineChars="200"/>
        <w:rPr>
          <w:sz w:val="24"/>
          <w:szCs w:val="23"/>
        </w:rPr>
      </w:pPr>
      <w:r>
        <w:rPr>
          <w:rFonts w:hint="eastAsia"/>
          <w:sz w:val="24"/>
          <w:szCs w:val="23"/>
        </w:rPr>
        <w:t>1.《青岛伟隆阀门股份有限公司第四届监事会第二十五次会议决议》。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pStyle w:val="21"/>
        <w:spacing w:line="480" w:lineRule="auto"/>
        <w:ind w:firstLine="480" w:firstLineChars="200"/>
        <w:rPr>
          <w:rFonts w:hint="eastAsia"/>
          <w:sz w:val="24"/>
          <w:szCs w:val="23"/>
        </w:rPr>
      </w:pPr>
      <w:r>
        <w:rPr>
          <w:rFonts w:hint="eastAsia"/>
          <w:sz w:val="24"/>
          <w:szCs w:val="23"/>
        </w:rPr>
        <w:t>特此公告。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jc w:val="right"/>
        <w:rPr>
          <w:rFonts w:hint="eastAsia"/>
          <w:kern w:val="0"/>
          <w:sz w:val="24"/>
          <w:szCs w:val="23"/>
        </w:rPr>
      </w:pPr>
      <w:r>
        <w:rPr>
          <w:rFonts w:hint="eastAsia"/>
          <w:kern w:val="0"/>
          <w:sz w:val="24"/>
          <w:szCs w:val="23"/>
        </w:rPr>
        <w:t>青岛伟隆阀门股份有限公司</w:t>
      </w:r>
    </w:p>
    <w:p>
      <w:pPr>
        <w:spacing w:line="400" w:lineRule="exact"/>
        <w:ind w:right="793" w:firstLine="480" w:firstLineChars="200"/>
        <w:jc w:val="center"/>
        <w:rPr>
          <w:rFonts w:hint="eastAsia"/>
          <w:kern w:val="0"/>
          <w:sz w:val="24"/>
          <w:szCs w:val="23"/>
        </w:rPr>
      </w:pPr>
      <w:r>
        <w:rPr>
          <w:rFonts w:hint="eastAsia"/>
          <w:kern w:val="0"/>
          <w:sz w:val="24"/>
          <w:szCs w:val="23"/>
        </w:rPr>
        <w:t xml:space="preserve">                                                 监事会    </w:t>
      </w:r>
    </w:p>
    <w:p>
      <w:pPr>
        <w:wordWrap w:val="0"/>
        <w:spacing w:line="400" w:lineRule="exact"/>
        <w:ind w:right="325" w:rightChars="155" w:firstLine="480" w:firstLineChars="200"/>
        <w:jc w:val="right"/>
        <w:rPr>
          <w:rFonts w:hint="eastAsia"/>
          <w:kern w:val="0"/>
          <w:sz w:val="24"/>
          <w:szCs w:val="23"/>
        </w:rPr>
      </w:pPr>
      <w:r>
        <w:rPr>
          <w:rFonts w:hint="eastAsia"/>
          <w:kern w:val="0"/>
          <w:sz w:val="24"/>
          <w:szCs w:val="23"/>
        </w:rPr>
        <w:t xml:space="preserve">2024年2月29日 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IwNzkzYTg0MzhhYmIxYTgwNmNhNDYxODQzNjMifQ=="/>
  </w:docVars>
  <w:rsids>
    <w:rsidRoot w:val="00172A27"/>
    <w:rsid w:val="00005310"/>
    <w:rsid w:val="00071A9D"/>
    <w:rsid w:val="000B204E"/>
    <w:rsid w:val="000B2477"/>
    <w:rsid w:val="000B370D"/>
    <w:rsid w:val="000B5CBC"/>
    <w:rsid w:val="000B7410"/>
    <w:rsid w:val="000F5C82"/>
    <w:rsid w:val="00116159"/>
    <w:rsid w:val="00156CA1"/>
    <w:rsid w:val="00180213"/>
    <w:rsid w:val="001B4BF4"/>
    <w:rsid w:val="001B4F4A"/>
    <w:rsid w:val="001E352C"/>
    <w:rsid w:val="00222C07"/>
    <w:rsid w:val="00225CEA"/>
    <w:rsid w:val="00226333"/>
    <w:rsid w:val="00251F21"/>
    <w:rsid w:val="00255F62"/>
    <w:rsid w:val="00261417"/>
    <w:rsid w:val="00265086"/>
    <w:rsid w:val="00286D0A"/>
    <w:rsid w:val="002B0C17"/>
    <w:rsid w:val="002D05FF"/>
    <w:rsid w:val="002D6DDD"/>
    <w:rsid w:val="002F1DD4"/>
    <w:rsid w:val="00300217"/>
    <w:rsid w:val="00311B2D"/>
    <w:rsid w:val="00317B29"/>
    <w:rsid w:val="003309FE"/>
    <w:rsid w:val="00346323"/>
    <w:rsid w:val="00360FAF"/>
    <w:rsid w:val="00381242"/>
    <w:rsid w:val="003A2EB5"/>
    <w:rsid w:val="003A449D"/>
    <w:rsid w:val="003F392B"/>
    <w:rsid w:val="00436875"/>
    <w:rsid w:val="00443945"/>
    <w:rsid w:val="00460703"/>
    <w:rsid w:val="00464D6B"/>
    <w:rsid w:val="004768EF"/>
    <w:rsid w:val="004B3666"/>
    <w:rsid w:val="005026AB"/>
    <w:rsid w:val="0054754A"/>
    <w:rsid w:val="00595CEA"/>
    <w:rsid w:val="005D5217"/>
    <w:rsid w:val="0060746D"/>
    <w:rsid w:val="00626314"/>
    <w:rsid w:val="00655627"/>
    <w:rsid w:val="006618F7"/>
    <w:rsid w:val="0067027E"/>
    <w:rsid w:val="006C2735"/>
    <w:rsid w:val="00702D92"/>
    <w:rsid w:val="00710AEF"/>
    <w:rsid w:val="007205FD"/>
    <w:rsid w:val="0075534A"/>
    <w:rsid w:val="007776AF"/>
    <w:rsid w:val="007B126E"/>
    <w:rsid w:val="007C55ED"/>
    <w:rsid w:val="007D18FB"/>
    <w:rsid w:val="007E212A"/>
    <w:rsid w:val="007F0CE9"/>
    <w:rsid w:val="00811AD8"/>
    <w:rsid w:val="00830422"/>
    <w:rsid w:val="0083277D"/>
    <w:rsid w:val="00836094"/>
    <w:rsid w:val="0087563D"/>
    <w:rsid w:val="008800CB"/>
    <w:rsid w:val="00880FC9"/>
    <w:rsid w:val="008853C5"/>
    <w:rsid w:val="008B0C27"/>
    <w:rsid w:val="008C225E"/>
    <w:rsid w:val="008D32CB"/>
    <w:rsid w:val="008E0C9A"/>
    <w:rsid w:val="00974B77"/>
    <w:rsid w:val="0097532B"/>
    <w:rsid w:val="009962B5"/>
    <w:rsid w:val="009C2800"/>
    <w:rsid w:val="009D3C1E"/>
    <w:rsid w:val="00A03CB2"/>
    <w:rsid w:val="00A07E3D"/>
    <w:rsid w:val="00A40FF5"/>
    <w:rsid w:val="00AC7EE5"/>
    <w:rsid w:val="00AD19C2"/>
    <w:rsid w:val="00B05DCD"/>
    <w:rsid w:val="00B37BC2"/>
    <w:rsid w:val="00B97F4B"/>
    <w:rsid w:val="00BC16F1"/>
    <w:rsid w:val="00BC1758"/>
    <w:rsid w:val="00BC556D"/>
    <w:rsid w:val="00BE574F"/>
    <w:rsid w:val="00BF0D73"/>
    <w:rsid w:val="00BF3277"/>
    <w:rsid w:val="00C1323B"/>
    <w:rsid w:val="00C63108"/>
    <w:rsid w:val="00C952A2"/>
    <w:rsid w:val="00CB01F9"/>
    <w:rsid w:val="00CB3FA8"/>
    <w:rsid w:val="00CC274C"/>
    <w:rsid w:val="00CC6F61"/>
    <w:rsid w:val="00CD4B6A"/>
    <w:rsid w:val="00D06D20"/>
    <w:rsid w:val="00D145BC"/>
    <w:rsid w:val="00D90A23"/>
    <w:rsid w:val="00D962EB"/>
    <w:rsid w:val="00DE04E9"/>
    <w:rsid w:val="00DE0B23"/>
    <w:rsid w:val="00DE0B73"/>
    <w:rsid w:val="00E05610"/>
    <w:rsid w:val="00E05CE3"/>
    <w:rsid w:val="00E57EAB"/>
    <w:rsid w:val="00E64C0D"/>
    <w:rsid w:val="00E77DE5"/>
    <w:rsid w:val="00EA19DA"/>
    <w:rsid w:val="00EA40C5"/>
    <w:rsid w:val="00EB62B4"/>
    <w:rsid w:val="00EC676B"/>
    <w:rsid w:val="00ED115F"/>
    <w:rsid w:val="00ED2474"/>
    <w:rsid w:val="00EE06E5"/>
    <w:rsid w:val="00EE6935"/>
    <w:rsid w:val="00EF7AF2"/>
    <w:rsid w:val="00F33EFA"/>
    <w:rsid w:val="00F3636E"/>
    <w:rsid w:val="00F62996"/>
    <w:rsid w:val="03C143D2"/>
    <w:rsid w:val="0CBF3F49"/>
    <w:rsid w:val="21BE1763"/>
    <w:rsid w:val="2AFE2170"/>
    <w:rsid w:val="41384636"/>
    <w:rsid w:val="497D5F07"/>
    <w:rsid w:val="4C5D3C6C"/>
    <w:rsid w:val="4F7C7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Body Text Indent"/>
    <w:basedOn w:val="1"/>
    <w:link w:val="14"/>
    <w:uiPriority w:val="0"/>
    <w:pPr>
      <w:spacing w:line="480" w:lineRule="auto"/>
      <w:ind w:firstLine="480"/>
    </w:pPr>
    <w:rPr>
      <w:rFonts w:ascii="宋体" w:hAnsi="宋体"/>
      <w:kern w:val="0"/>
      <w:sz w:val="24"/>
    </w:rPr>
  </w:style>
  <w:style w:type="paragraph" w:styleId="5">
    <w:name w:val="Date"/>
    <w:basedOn w:val="1"/>
    <w:next w:val="1"/>
    <w:link w:val="15"/>
    <w:uiPriority w:val="0"/>
    <w:rPr>
      <w:kern w:val="0"/>
      <w:sz w:val="24"/>
      <w:szCs w:val="20"/>
    </w:r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uiPriority w:val="0"/>
    <w:rPr>
      <w:b/>
      <w:bCs/>
    </w:rPr>
  </w:style>
  <w:style w:type="character" w:styleId="12">
    <w:name w:val="page number"/>
    <w:uiPriority w:val="0"/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正文文本缩进 字符"/>
    <w:link w:val="4"/>
    <w:uiPriority w:val="0"/>
    <w:rPr>
      <w:rFonts w:ascii="宋体" w:hAnsi="宋体" w:eastAsia="宋体" w:cs="Times New Roman"/>
      <w:sz w:val="24"/>
      <w:szCs w:val="24"/>
    </w:rPr>
  </w:style>
  <w:style w:type="character" w:customStyle="1" w:styleId="15">
    <w:name w:val="日期 字符"/>
    <w:link w:val="5"/>
    <w:uiPriority w:val="0"/>
    <w:rPr>
      <w:rFonts w:ascii="Times New Roman" w:hAnsi="Times New Roman"/>
      <w:sz w:val="24"/>
    </w:rPr>
  </w:style>
  <w:style w:type="character" w:customStyle="1" w:styleId="16">
    <w:name w:val="页脚 字符"/>
    <w:link w:val="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link w:val="8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">
    <w:name w:val="fontstyle01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20">
    <w:name w:val="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21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2">
    <w:name w:val=" Char2 Char Char Char Char Char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_Style 23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2018-02-23T05:32:00Z</dcterms:created>
  <dc:creator>liukp</dc:creator>
  <cp:lastModifiedBy>Mr.翔</cp:lastModifiedBy>
  <cp:lastPrinted>2008-06-23T07:08:00Z</cp:lastPrinted>
  <dcterms:modified xsi:type="dcterms:W3CDTF">2024-02-27T02:53:06Z</dcterms:modified>
  <dc:title>伟隆阀门股份有限公司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E78F6804DDB34EF2A8BFDC96B5E167AC_13</vt:lpwstr>
  </property>
</Properties>
</file>